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1B7886">
      <w:pPr>
        <w:pStyle w:val="2"/>
        <w:rPr>
          <w:rFonts w:hint="eastAsia" w:ascii="华文中宋" w:hAnsi="华文中宋" w:eastAsia="华文中宋"/>
          <w:b/>
          <w:color w:val="000000" w:themeColor="text1"/>
          <w:sz w:val="32"/>
          <w:szCs w:val="22"/>
          <w:highlight w:val="none"/>
          <w14:textFill>
            <w14:solidFill>
              <w14:schemeClr w14:val="tx1"/>
            </w14:solidFill>
          </w14:textFill>
        </w:rPr>
      </w:pPr>
      <w:bookmarkStart w:id="0" w:name="_GoBack"/>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highlight w:val="none"/>
          <w14:textFill>
            <w14:solidFill>
              <w14:schemeClr w14:val="tx1"/>
            </w14:solidFill>
          </w14:textFill>
        </w:rPr>
        <w:t>综合评分明细表</w:t>
      </w:r>
    </w:p>
    <w:bookmarkEnd w:id="0"/>
    <w:tbl>
      <w:tblPr>
        <w:tblStyle w:val="6"/>
        <w:tblW w:w="10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155"/>
        <w:gridCol w:w="675"/>
        <w:gridCol w:w="6540"/>
        <w:gridCol w:w="930"/>
      </w:tblGrid>
      <w:tr w14:paraId="7B5C6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702" w:type="dxa"/>
            <w:vAlign w:val="center"/>
          </w:tcPr>
          <w:p w14:paraId="033BCAC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序号</w:t>
            </w:r>
          </w:p>
        </w:tc>
        <w:tc>
          <w:tcPr>
            <w:tcW w:w="1155" w:type="dxa"/>
            <w:vAlign w:val="center"/>
          </w:tcPr>
          <w:p w14:paraId="0C6FF90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kern w:val="2"/>
                <w:sz w:val="21"/>
                <w:szCs w:val="21"/>
                <w:highlight w:val="none"/>
                <w:lang w:bidi="ar"/>
              </w:rPr>
              <w:t>评分因素</w:t>
            </w:r>
            <w:r>
              <w:rPr>
                <w:rFonts w:hint="eastAsia" w:ascii="仿宋" w:hAnsi="仿宋" w:eastAsia="仿宋" w:cs="仿宋"/>
                <w:b/>
                <w:bCs/>
                <w:kern w:val="2"/>
                <w:sz w:val="21"/>
                <w:szCs w:val="21"/>
                <w:highlight w:val="none"/>
                <w:lang w:val="en-US" w:eastAsia="zh-CN" w:bidi="ar"/>
              </w:rPr>
              <w:t>及权重</w:t>
            </w:r>
          </w:p>
        </w:tc>
        <w:tc>
          <w:tcPr>
            <w:tcW w:w="675" w:type="dxa"/>
            <w:vAlign w:val="center"/>
          </w:tcPr>
          <w:p w14:paraId="0DDEA9CA">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分值</w:t>
            </w:r>
          </w:p>
        </w:tc>
        <w:tc>
          <w:tcPr>
            <w:tcW w:w="6540" w:type="dxa"/>
            <w:vAlign w:val="center"/>
          </w:tcPr>
          <w:p w14:paraId="1901D591">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评分标准</w:t>
            </w:r>
          </w:p>
        </w:tc>
        <w:tc>
          <w:tcPr>
            <w:tcW w:w="930" w:type="dxa"/>
            <w:vAlign w:val="center"/>
          </w:tcPr>
          <w:p w14:paraId="669014F0">
            <w:pPr>
              <w:widowControl/>
              <w:numPr>
                <w:ilvl w:val="-1"/>
                <w:numId w:val="0"/>
              </w:numPr>
              <w:spacing w:beforeLines="-2147483648" w:afterLines="-2147483648" w:line="240" w:lineRule="auto"/>
              <w:jc w:val="center"/>
              <w:rPr>
                <w:rFonts w:hint="eastAsia" w:ascii="仿宋" w:hAnsi="仿宋" w:eastAsia="仿宋" w:cs="仿宋"/>
                <w:b/>
                <w:bCs/>
                <w:sz w:val="21"/>
                <w:szCs w:val="21"/>
                <w:highlight w:val="none"/>
                <w:vertAlign w:val="baseline"/>
                <w:lang w:eastAsia="zh-CN" w:bidi="ar"/>
              </w:rPr>
            </w:pPr>
            <w:r>
              <w:rPr>
                <w:rFonts w:hint="eastAsia" w:ascii="仿宋" w:hAnsi="仿宋" w:eastAsia="仿宋" w:cs="仿宋"/>
                <w:b/>
                <w:bCs/>
                <w:sz w:val="21"/>
                <w:szCs w:val="21"/>
                <w:highlight w:val="none"/>
                <w:lang w:bidi="ar"/>
              </w:rPr>
              <w:t>备注</w:t>
            </w:r>
          </w:p>
        </w:tc>
      </w:tr>
      <w:tr w14:paraId="03DEF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vAlign w:val="center"/>
          </w:tcPr>
          <w:p w14:paraId="161312AD">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w:t>
            </w:r>
          </w:p>
        </w:tc>
        <w:tc>
          <w:tcPr>
            <w:tcW w:w="1155" w:type="dxa"/>
            <w:vAlign w:val="center"/>
          </w:tcPr>
          <w:p w14:paraId="7FAA8A76">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报价（20%）</w:t>
            </w:r>
          </w:p>
        </w:tc>
        <w:tc>
          <w:tcPr>
            <w:tcW w:w="675" w:type="dxa"/>
            <w:vAlign w:val="center"/>
          </w:tcPr>
          <w:p w14:paraId="4EEC4D11">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20分</w:t>
            </w:r>
          </w:p>
        </w:tc>
        <w:tc>
          <w:tcPr>
            <w:tcW w:w="6540" w:type="dxa"/>
            <w:vAlign w:val="center"/>
          </w:tcPr>
          <w:p w14:paraId="2AF4065E">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lang w:eastAsia="zh-CN"/>
              </w:rPr>
              <w:t>供应商管理费费率</w:t>
            </w:r>
            <w:r>
              <w:rPr>
                <w:rFonts w:hint="eastAsia" w:ascii="仿宋" w:hAnsi="仿宋" w:eastAsia="仿宋" w:cs="仿宋"/>
                <w:sz w:val="21"/>
                <w:szCs w:val="21"/>
              </w:rPr>
              <w:t>最高的</w:t>
            </w:r>
            <w:r>
              <w:rPr>
                <w:rFonts w:hint="eastAsia" w:ascii="仿宋" w:hAnsi="仿宋" w:eastAsia="仿宋" w:cs="仿宋"/>
                <w:sz w:val="21"/>
                <w:szCs w:val="21"/>
                <w:lang w:val="en-US" w:eastAsia="zh-CN"/>
              </w:rPr>
              <w:t>报价</w:t>
            </w:r>
            <w:r>
              <w:rPr>
                <w:rFonts w:hint="eastAsia" w:ascii="仿宋" w:hAnsi="仿宋" w:eastAsia="仿宋" w:cs="仿宋"/>
                <w:sz w:val="21"/>
                <w:szCs w:val="21"/>
              </w:rPr>
              <w:t>为基准价，其价格</w:t>
            </w:r>
            <w:r>
              <w:rPr>
                <w:rFonts w:hint="eastAsia" w:ascii="仿宋" w:hAnsi="仿宋" w:eastAsia="仿宋" w:cs="仿宋"/>
                <w:sz w:val="21"/>
                <w:szCs w:val="21"/>
                <w:lang w:val="en-US" w:eastAsia="zh-CN"/>
              </w:rPr>
              <w:t>得</w:t>
            </w:r>
            <w:r>
              <w:rPr>
                <w:rFonts w:hint="eastAsia" w:ascii="仿宋" w:hAnsi="仿宋" w:eastAsia="仿宋" w:cs="仿宋"/>
                <w:sz w:val="21"/>
                <w:szCs w:val="21"/>
              </w:rPr>
              <w:t>分为满分，其他</w:t>
            </w:r>
            <w:r>
              <w:rPr>
                <w:rFonts w:hint="eastAsia" w:ascii="仿宋" w:hAnsi="仿宋" w:eastAsia="仿宋" w:cs="仿宋"/>
                <w:sz w:val="21"/>
                <w:szCs w:val="21"/>
                <w:lang w:val="en-US" w:eastAsia="zh-CN"/>
              </w:rPr>
              <w:t>报价得</w:t>
            </w:r>
            <w:r>
              <w:rPr>
                <w:rFonts w:hint="eastAsia" w:ascii="仿宋" w:hAnsi="仿宋" w:eastAsia="仿宋" w:cs="仿宋"/>
                <w:sz w:val="21"/>
                <w:szCs w:val="21"/>
              </w:rPr>
              <w:t>分按下列公式计算：报价得分＝（投标报价/基准价）×</w:t>
            </w:r>
            <w:r>
              <w:rPr>
                <w:rFonts w:hint="eastAsia" w:ascii="仿宋" w:hAnsi="仿宋" w:eastAsia="仿宋" w:cs="仿宋"/>
                <w:sz w:val="21"/>
                <w:szCs w:val="21"/>
                <w:highlight w:val="none"/>
                <w:lang w:val="en-US" w:eastAsia="zh-CN"/>
              </w:rPr>
              <w:t>20%</w:t>
            </w:r>
            <w:r>
              <w:rPr>
                <w:rFonts w:hint="eastAsia" w:ascii="仿宋" w:hAnsi="仿宋" w:eastAsia="仿宋" w:cs="仿宋"/>
                <w:sz w:val="21"/>
                <w:szCs w:val="21"/>
              </w:rPr>
              <w:t>×</w:t>
            </w:r>
            <w:r>
              <w:rPr>
                <w:rFonts w:hint="eastAsia" w:ascii="仿宋" w:hAnsi="仿宋" w:eastAsia="仿宋" w:cs="仿宋"/>
                <w:sz w:val="21"/>
                <w:szCs w:val="21"/>
                <w:lang w:val="en-US" w:eastAsia="zh-CN"/>
              </w:rPr>
              <w:t>100</w:t>
            </w:r>
            <w:r>
              <w:rPr>
                <w:rFonts w:hint="eastAsia" w:ascii="仿宋" w:hAnsi="仿宋" w:eastAsia="仿宋" w:cs="仿宋"/>
                <w:sz w:val="21"/>
                <w:szCs w:val="21"/>
              </w:rPr>
              <w:t>。</w:t>
            </w:r>
          </w:p>
        </w:tc>
        <w:tc>
          <w:tcPr>
            <w:tcW w:w="930" w:type="dxa"/>
          </w:tcPr>
          <w:p w14:paraId="4B16B66F">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2A5B3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2" w:type="dxa"/>
            <w:vAlign w:val="center"/>
          </w:tcPr>
          <w:p w14:paraId="6EE2662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2</w:t>
            </w:r>
          </w:p>
        </w:tc>
        <w:tc>
          <w:tcPr>
            <w:tcW w:w="1155" w:type="dxa"/>
            <w:vAlign w:val="center"/>
          </w:tcPr>
          <w:p w14:paraId="6AFAB112">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bidi="ar"/>
              </w:rPr>
              <w:t>履约能力</w:t>
            </w:r>
            <w:r>
              <w:rPr>
                <w:rFonts w:hint="eastAsia" w:ascii="仿宋" w:hAnsi="仿宋" w:eastAsia="仿宋" w:cs="仿宋"/>
                <w:sz w:val="21"/>
                <w:szCs w:val="21"/>
                <w:highlight w:val="none"/>
                <w:lang w:eastAsia="zh-CN" w:bidi="ar"/>
              </w:rPr>
              <w:t>（</w:t>
            </w:r>
            <w:r>
              <w:rPr>
                <w:rFonts w:hint="eastAsia" w:ascii="仿宋" w:hAnsi="仿宋" w:eastAsia="仿宋" w:cs="仿宋"/>
                <w:sz w:val="21"/>
                <w:szCs w:val="21"/>
                <w:highlight w:val="none"/>
                <w:vertAlign w:val="baseline"/>
                <w:lang w:val="en-US" w:eastAsia="zh-CN" w:bidi="ar"/>
              </w:rPr>
              <w:t>14%</w:t>
            </w:r>
            <w:r>
              <w:rPr>
                <w:rFonts w:hint="eastAsia" w:ascii="仿宋" w:hAnsi="仿宋" w:eastAsia="仿宋" w:cs="仿宋"/>
                <w:sz w:val="21"/>
                <w:szCs w:val="21"/>
                <w:highlight w:val="none"/>
                <w:lang w:eastAsia="zh-CN" w:bidi="ar"/>
              </w:rPr>
              <w:t>）</w:t>
            </w:r>
          </w:p>
        </w:tc>
        <w:tc>
          <w:tcPr>
            <w:tcW w:w="675" w:type="dxa"/>
            <w:vAlign w:val="center"/>
          </w:tcPr>
          <w:p w14:paraId="063E4032">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14分</w:t>
            </w:r>
          </w:p>
        </w:tc>
        <w:tc>
          <w:tcPr>
            <w:tcW w:w="6540" w:type="dxa"/>
            <w:vAlign w:val="center"/>
          </w:tcPr>
          <w:p w14:paraId="249EB0EC">
            <w:pPr>
              <w:widowControl/>
              <w:numPr>
                <w:ilvl w:val="-1"/>
                <w:numId w:val="0"/>
              </w:numPr>
              <w:spacing w:beforeLines="-2147483648" w:afterLines="-2147483648" w:line="240" w:lineRule="auto"/>
              <w:jc w:val="left"/>
              <w:rPr>
                <w:rFonts w:hint="eastAsia" w:ascii="仿宋" w:hAnsi="仿宋" w:eastAsia="仿宋" w:cs="仿宋"/>
                <w:sz w:val="21"/>
                <w:szCs w:val="21"/>
                <w:lang w:eastAsia="zh-CN"/>
              </w:rPr>
            </w:pPr>
            <w:r>
              <w:rPr>
                <w:rFonts w:hint="eastAsia" w:ascii="仿宋" w:hAnsi="仿宋" w:eastAsia="仿宋" w:cs="仿宋"/>
                <w:sz w:val="21"/>
                <w:szCs w:val="21"/>
                <w:lang w:eastAsia="zh-CN"/>
              </w:rPr>
              <w:t>供应商</w:t>
            </w:r>
            <w:r>
              <w:rPr>
                <w:rFonts w:hint="eastAsia" w:ascii="仿宋" w:hAnsi="仿宋" w:eastAsia="仿宋" w:cs="仿宋"/>
                <w:sz w:val="21"/>
                <w:szCs w:val="21"/>
              </w:rPr>
              <w:t>自</w:t>
            </w:r>
            <w:r>
              <w:rPr>
                <w:rFonts w:hint="eastAsia" w:ascii="仿宋" w:hAnsi="仿宋" w:eastAsia="仿宋" w:cs="仿宋"/>
                <w:sz w:val="21"/>
                <w:szCs w:val="21"/>
                <w:lang w:val="en-US" w:eastAsia="zh-CN"/>
              </w:rPr>
              <w:t>2022</w:t>
            </w:r>
            <w:r>
              <w:rPr>
                <w:rFonts w:hint="eastAsia" w:ascii="仿宋" w:hAnsi="仿宋" w:eastAsia="仿宋" w:cs="仿宋"/>
                <w:sz w:val="21"/>
                <w:szCs w:val="21"/>
              </w:rPr>
              <w:t>年1月1日以来，每有一个类似项目业绩的得</w:t>
            </w:r>
            <w:r>
              <w:rPr>
                <w:rFonts w:hint="eastAsia" w:ascii="仿宋" w:hAnsi="仿宋" w:eastAsia="仿宋" w:cs="仿宋"/>
                <w:sz w:val="21"/>
                <w:szCs w:val="21"/>
                <w:lang w:val="en-US" w:eastAsia="zh-CN"/>
              </w:rPr>
              <w:t>2</w:t>
            </w:r>
            <w:r>
              <w:rPr>
                <w:rFonts w:hint="eastAsia" w:ascii="仿宋" w:hAnsi="仿宋" w:eastAsia="仿宋" w:cs="仿宋"/>
                <w:sz w:val="21"/>
                <w:szCs w:val="21"/>
              </w:rPr>
              <w:t>分，最多得</w:t>
            </w:r>
            <w:r>
              <w:rPr>
                <w:rFonts w:hint="eastAsia" w:ascii="仿宋" w:hAnsi="仿宋" w:eastAsia="仿宋" w:cs="仿宋"/>
                <w:sz w:val="21"/>
                <w:szCs w:val="21"/>
                <w:lang w:val="en-US" w:eastAsia="zh-CN"/>
              </w:rPr>
              <w:t>14</w:t>
            </w:r>
            <w:r>
              <w:rPr>
                <w:rFonts w:hint="eastAsia" w:ascii="仿宋" w:hAnsi="仿宋" w:eastAsia="仿宋" w:cs="仿宋"/>
                <w:sz w:val="21"/>
                <w:szCs w:val="21"/>
              </w:rPr>
              <w:t>分</w:t>
            </w:r>
            <w:r>
              <w:rPr>
                <w:rFonts w:hint="eastAsia" w:ascii="仿宋" w:hAnsi="仿宋" w:eastAsia="仿宋" w:cs="仿宋"/>
                <w:sz w:val="21"/>
                <w:szCs w:val="21"/>
                <w:lang w:eastAsia="zh-CN"/>
              </w:rPr>
              <w:t>。</w:t>
            </w:r>
          </w:p>
          <w:p w14:paraId="6BA9EF53">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val="en-US" w:eastAsia="zh-CN" w:bidi="ar"/>
              </w:rPr>
            </w:pPr>
            <w:r>
              <w:rPr>
                <w:rFonts w:hint="eastAsia" w:ascii="仿宋" w:hAnsi="仿宋" w:eastAsia="仿宋" w:cs="仿宋"/>
                <w:kern w:val="2"/>
                <w:sz w:val="21"/>
                <w:szCs w:val="21"/>
                <w:lang w:val="en-US" w:eastAsia="zh-CN"/>
              </w:rPr>
              <w:t>注</w:t>
            </w:r>
            <w:r>
              <w:rPr>
                <w:rFonts w:hint="eastAsia" w:ascii="仿宋" w:hAnsi="仿宋" w:eastAsia="仿宋" w:cs="仿宋"/>
                <w:kern w:val="2"/>
                <w:sz w:val="21"/>
                <w:szCs w:val="21"/>
                <w:lang w:eastAsia="zh-Hans"/>
              </w:rPr>
              <w:t>：提供项目合同复印件或中标（成交）通知书复印件并加盖公章。</w:t>
            </w:r>
          </w:p>
        </w:tc>
        <w:tc>
          <w:tcPr>
            <w:tcW w:w="930" w:type="dxa"/>
          </w:tcPr>
          <w:p w14:paraId="34016503">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67F74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4" w:hRule="atLeast"/>
        </w:trPr>
        <w:tc>
          <w:tcPr>
            <w:tcW w:w="702" w:type="dxa"/>
            <w:vAlign w:val="center"/>
          </w:tcPr>
          <w:p w14:paraId="14570E8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3</w:t>
            </w:r>
          </w:p>
        </w:tc>
        <w:tc>
          <w:tcPr>
            <w:tcW w:w="1155" w:type="dxa"/>
            <w:vAlign w:val="center"/>
          </w:tcPr>
          <w:p w14:paraId="74C1BD6B">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val="en-US" w:eastAsia="zh-CN" w:bidi="ar"/>
              </w:rPr>
              <w:t>项目服务</w:t>
            </w:r>
            <w:r>
              <w:rPr>
                <w:rFonts w:hint="eastAsia" w:ascii="仿宋" w:hAnsi="仿宋" w:eastAsia="仿宋" w:cs="仿宋"/>
                <w:sz w:val="21"/>
                <w:szCs w:val="21"/>
                <w:highlight w:val="none"/>
                <w:lang w:bidi="ar"/>
              </w:rPr>
              <w:t>方案</w:t>
            </w:r>
            <w:r>
              <w:rPr>
                <w:rFonts w:hint="eastAsia" w:ascii="仿宋" w:hAnsi="仿宋" w:eastAsia="仿宋" w:cs="仿宋"/>
                <w:sz w:val="21"/>
                <w:szCs w:val="21"/>
                <w:highlight w:val="none"/>
                <w:lang w:eastAsia="zh-CN" w:bidi="ar"/>
              </w:rPr>
              <w:t>（</w:t>
            </w:r>
            <w:r>
              <w:rPr>
                <w:rFonts w:hint="eastAsia" w:ascii="仿宋" w:hAnsi="仿宋" w:eastAsia="仿宋" w:cs="仿宋"/>
                <w:sz w:val="21"/>
                <w:szCs w:val="21"/>
                <w:highlight w:val="none"/>
                <w:vertAlign w:val="baseline"/>
                <w:lang w:val="en-US" w:eastAsia="zh-CN" w:bidi="ar"/>
              </w:rPr>
              <w:t>40%</w:t>
            </w:r>
            <w:r>
              <w:rPr>
                <w:rFonts w:hint="eastAsia" w:ascii="仿宋" w:hAnsi="仿宋" w:eastAsia="仿宋" w:cs="仿宋"/>
                <w:sz w:val="21"/>
                <w:szCs w:val="21"/>
                <w:highlight w:val="none"/>
                <w:lang w:eastAsia="zh-CN" w:bidi="ar"/>
              </w:rPr>
              <w:t>）</w:t>
            </w:r>
          </w:p>
        </w:tc>
        <w:tc>
          <w:tcPr>
            <w:tcW w:w="675" w:type="dxa"/>
            <w:vAlign w:val="center"/>
          </w:tcPr>
          <w:p w14:paraId="5CFB13B3">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40分</w:t>
            </w:r>
          </w:p>
        </w:tc>
        <w:tc>
          <w:tcPr>
            <w:tcW w:w="6540" w:type="dxa"/>
          </w:tcPr>
          <w:p w14:paraId="0EE2D955">
            <w:pPr>
              <w:keepNext w:val="0"/>
              <w:keepLines w:val="0"/>
              <w:pageBreakBefore w:val="0"/>
              <w:widowControl/>
              <w:numPr>
                <w:ilvl w:val="0"/>
                <w:numId w:val="0"/>
              </w:numPr>
              <w:kinsoku/>
              <w:wordWrap/>
              <w:overflowPunct/>
              <w:topLinePunct w:val="0"/>
              <w:autoSpaceDE/>
              <w:autoSpaceDN/>
              <w:bidi w:val="0"/>
              <w:adjustRightInd/>
              <w:snapToGrid/>
              <w:spacing w:after="100" w:afterLines="-2147483648" w:afterAutospacing="1" w:line="360" w:lineRule="exact"/>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1.</w:t>
            </w:r>
            <w:r>
              <w:rPr>
                <w:rFonts w:hint="eastAsia" w:ascii="仿宋" w:hAnsi="仿宋" w:eastAsia="仿宋" w:cs="仿宋"/>
                <w:sz w:val="21"/>
                <w:szCs w:val="21"/>
              </w:rPr>
              <w:t>供应商针对本项目需求提供</w:t>
            </w:r>
            <w:r>
              <w:rPr>
                <w:rFonts w:hint="eastAsia" w:ascii="仿宋" w:hAnsi="仿宋" w:eastAsia="仿宋" w:cs="仿宋"/>
                <w:sz w:val="21"/>
                <w:szCs w:val="21"/>
                <w:lang w:val="en-US" w:eastAsia="zh-CN"/>
              </w:rPr>
              <w:t>项目</w:t>
            </w:r>
            <w:r>
              <w:rPr>
                <w:rFonts w:hint="eastAsia" w:ascii="仿宋" w:hAnsi="仿宋" w:eastAsia="仿宋" w:cs="仿宋"/>
                <w:sz w:val="21"/>
                <w:szCs w:val="21"/>
              </w:rPr>
              <w:t>实施方案，包含</w:t>
            </w:r>
            <w:r>
              <w:rPr>
                <w:rFonts w:hint="eastAsia" w:ascii="仿宋" w:hAnsi="仿宋" w:eastAsia="仿宋" w:cs="仿宋"/>
                <w:sz w:val="21"/>
                <w:szCs w:val="21"/>
                <w:highlight w:val="none"/>
              </w:rPr>
              <w:t>①食品</w:t>
            </w:r>
            <w:r>
              <w:rPr>
                <w:rFonts w:hint="eastAsia" w:ascii="仿宋" w:hAnsi="仿宋" w:eastAsia="仿宋" w:cs="仿宋"/>
                <w:sz w:val="21"/>
                <w:szCs w:val="21"/>
                <w:highlight w:val="none"/>
                <w:lang w:val="en-US" w:eastAsia="zh-CN"/>
              </w:rPr>
              <w:t>种类</w:t>
            </w:r>
            <w:r>
              <w:rPr>
                <w:rFonts w:hint="eastAsia" w:ascii="仿宋" w:hAnsi="仿宋" w:eastAsia="仿宋" w:cs="仿宋"/>
                <w:sz w:val="21"/>
                <w:szCs w:val="21"/>
                <w:highlight w:val="none"/>
              </w:rPr>
              <w:t>及</w:t>
            </w:r>
            <w:r>
              <w:rPr>
                <w:rFonts w:hint="eastAsia" w:ascii="仿宋" w:hAnsi="仿宋" w:eastAsia="仿宋" w:cs="仿宋"/>
                <w:sz w:val="21"/>
                <w:szCs w:val="21"/>
              </w:rPr>
              <w:t>食品质量保障</w:t>
            </w:r>
            <w:r>
              <w:rPr>
                <w:rFonts w:hint="eastAsia" w:ascii="仿宋" w:hAnsi="仿宋" w:eastAsia="仿宋" w:cs="仿宋"/>
                <w:sz w:val="21"/>
                <w:szCs w:val="21"/>
                <w:lang w:val="en-US" w:eastAsia="zh-CN"/>
              </w:rPr>
              <w:t>措施</w:t>
            </w:r>
            <w:r>
              <w:rPr>
                <w:rFonts w:hint="eastAsia" w:ascii="仿宋" w:hAnsi="仿宋" w:eastAsia="仿宋" w:cs="仿宋"/>
                <w:sz w:val="21"/>
                <w:szCs w:val="21"/>
              </w:rPr>
              <w:t>、②食品配送及食品溯源</w:t>
            </w:r>
            <w:r>
              <w:rPr>
                <w:rFonts w:hint="eastAsia" w:ascii="仿宋" w:hAnsi="仿宋" w:eastAsia="仿宋" w:cs="仿宋"/>
                <w:sz w:val="21"/>
                <w:szCs w:val="21"/>
                <w:lang w:val="en-US" w:eastAsia="zh-CN"/>
              </w:rPr>
              <w:t>方案、</w:t>
            </w:r>
            <w:r>
              <w:rPr>
                <w:rFonts w:hint="eastAsia" w:ascii="仿宋" w:hAnsi="仿宋" w:eastAsia="仿宋" w:cs="仿宋"/>
                <w:sz w:val="21"/>
                <w:szCs w:val="21"/>
              </w:rPr>
              <w:t>③食品出入库管理</w:t>
            </w:r>
            <w:r>
              <w:rPr>
                <w:rFonts w:hint="eastAsia" w:ascii="仿宋" w:hAnsi="仿宋" w:eastAsia="仿宋" w:cs="仿宋"/>
                <w:sz w:val="21"/>
                <w:szCs w:val="21"/>
                <w:lang w:val="en-US" w:eastAsia="zh-CN"/>
              </w:rPr>
              <w:t>方案、</w:t>
            </w:r>
            <w:r>
              <w:rPr>
                <w:rFonts w:hint="eastAsia" w:ascii="仿宋" w:hAnsi="仿宋" w:eastAsia="仿宋" w:cs="仿宋"/>
                <w:sz w:val="21"/>
                <w:szCs w:val="21"/>
              </w:rPr>
              <w:t>④应急物资保障方案、⑤食品安全管理岗位责任及食品质量安全管理体系、⑥仓储卫生及食品保存</w:t>
            </w:r>
            <w:r>
              <w:rPr>
                <w:rFonts w:hint="eastAsia" w:ascii="仿宋" w:hAnsi="仿宋" w:eastAsia="仿宋" w:cs="仿宋"/>
                <w:sz w:val="21"/>
                <w:szCs w:val="21"/>
                <w:lang w:val="en-US" w:eastAsia="zh-CN"/>
              </w:rPr>
              <w:t>方案，</w:t>
            </w:r>
            <w:r>
              <w:rPr>
                <w:rFonts w:hint="eastAsia" w:ascii="仿宋" w:hAnsi="仿宋" w:eastAsia="仿宋" w:cs="仿宋"/>
                <w:sz w:val="21"/>
                <w:szCs w:val="21"/>
              </w:rPr>
              <w:t>完整提供上述内容的得</w:t>
            </w:r>
            <w:r>
              <w:rPr>
                <w:rFonts w:hint="eastAsia" w:ascii="仿宋" w:hAnsi="仿宋" w:eastAsia="仿宋" w:cs="仿宋"/>
                <w:sz w:val="21"/>
                <w:szCs w:val="21"/>
                <w:lang w:val="en-US" w:eastAsia="zh-CN"/>
              </w:rPr>
              <w:t>18</w:t>
            </w:r>
            <w:r>
              <w:rPr>
                <w:rFonts w:hint="eastAsia" w:ascii="仿宋" w:hAnsi="仿宋" w:eastAsia="仿宋" w:cs="仿宋"/>
                <w:sz w:val="21"/>
                <w:szCs w:val="21"/>
              </w:rPr>
              <w:t>分，每缺少一项内容扣</w:t>
            </w:r>
            <w:r>
              <w:rPr>
                <w:rFonts w:hint="eastAsia" w:ascii="仿宋" w:hAnsi="仿宋" w:eastAsia="仿宋" w:cs="仿宋"/>
                <w:sz w:val="21"/>
                <w:szCs w:val="21"/>
                <w:highlight w:val="none"/>
                <w:lang w:val="en-US" w:eastAsia="zh-CN"/>
              </w:rPr>
              <w:t>3</w:t>
            </w:r>
            <w:r>
              <w:rPr>
                <w:rFonts w:hint="eastAsia" w:ascii="仿宋" w:hAnsi="仿宋" w:eastAsia="仿宋" w:cs="仿宋"/>
                <w:sz w:val="21"/>
                <w:szCs w:val="21"/>
              </w:rPr>
              <w:t>分，每项中每有一处错误或缺陷的扣</w:t>
            </w:r>
            <w:r>
              <w:rPr>
                <w:rFonts w:hint="eastAsia" w:ascii="仿宋" w:hAnsi="仿宋" w:eastAsia="仿宋" w:cs="仿宋"/>
                <w:sz w:val="21"/>
                <w:szCs w:val="21"/>
                <w:highlight w:val="none"/>
                <w:lang w:val="en-US" w:eastAsia="zh-CN"/>
              </w:rPr>
              <w:t>1～3</w:t>
            </w:r>
            <w:r>
              <w:rPr>
                <w:rFonts w:hint="eastAsia" w:ascii="仿宋" w:hAnsi="仿宋" w:eastAsia="仿宋" w:cs="仿宋"/>
                <w:sz w:val="21"/>
                <w:szCs w:val="21"/>
                <w:highlight w:val="none"/>
              </w:rPr>
              <w:t>分</w:t>
            </w:r>
            <w:r>
              <w:rPr>
                <w:rFonts w:hint="eastAsia" w:ascii="仿宋" w:hAnsi="仿宋" w:eastAsia="仿宋" w:cs="仿宋"/>
                <w:sz w:val="21"/>
                <w:szCs w:val="21"/>
              </w:rPr>
              <w:t>，每项分值最多扣</w:t>
            </w:r>
            <w:r>
              <w:rPr>
                <w:rFonts w:hint="eastAsia" w:ascii="仿宋" w:hAnsi="仿宋" w:eastAsia="仿宋" w:cs="仿宋"/>
                <w:sz w:val="21"/>
                <w:szCs w:val="21"/>
                <w:highlight w:val="none"/>
                <w:lang w:eastAsia="zh-CN"/>
              </w:rPr>
              <w:t>3</w:t>
            </w:r>
            <w:r>
              <w:rPr>
                <w:rFonts w:hint="eastAsia" w:ascii="仿宋" w:hAnsi="仿宋" w:eastAsia="仿宋" w:cs="仿宋"/>
                <w:sz w:val="21"/>
                <w:szCs w:val="21"/>
              </w:rPr>
              <w:t>分，未提供不得分。</w:t>
            </w:r>
          </w:p>
          <w:p w14:paraId="18A4B3B8">
            <w:pPr>
              <w:keepNext w:val="0"/>
              <w:keepLines w:val="0"/>
              <w:pageBreakBefore w:val="0"/>
              <w:widowControl/>
              <w:numPr>
                <w:ilvl w:val="0"/>
                <w:numId w:val="0"/>
              </w:numPr>
              <w:kinsoku/>
              <w:wordWrap/>
              <w:overflowPunct/>
              <w:topLinePunct w:val="0"/>
              <w:autoSpaceDE/>
              <w:autoSpaceDN/>
              <w:bidi w:val="0"/>
              <w:adjustRightInd/>
              <w:snapToGrid/>
              <w:spacing w:after="100" w:afterLines="-2147483648" w:afterAutospacing="1" w:line="360" w:lineRule="exact"/>
              <w:ind w:leftChars="0"/>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2.</w:t>
            </w:r>
            <w:r>
              <w:rPr>
                <w:rFonts w:hint="eastAsia" w:ascii="仿宋" w:hAnsi="仿宋" w:eastAsia="仿宋" w:cs="仿宋"/>
                <w:sz w:val="21"/>
                <w:szCs w:val="21"/>
              </w:rPr>
              <w:t>供应商针对本项目需求提供售后服务方案</w:t>
            </w:r>
            <w:r>
              <w:rPr>
                <w:rFonts w:hint="eastAsia" w:ascii="仿宋" w:hAnsi="仿宋" w:eastAsia="仿宋" w:cs="仿宋"/>
                <w:sz w:val="21"/>
                <w:szCs w:val="21"/>
                <w:lang w:eastAsia="zh-CN"/>
              </w:rPr>
              <w:t>，</w:t>
            </w:r>
            <w:r>
              <w:rPr>
                <w:rFonts w:hint="eastAsia" w:ascii="仿宋" w:hAnsi="仿宋" w:eastAsia="仿宋" w:cs="仿宋"/>
                <w:sz w:val="21"/>
                <w:szCs w:val="21"/>
              </w:rPr>
              <w:t>包含①售后服务人员</w:t>
            </w:r>
            <w:r>
              <w:rPr>
                <w:rFonts w:hint="eastAsia" w:ascii="仿宋" w:hAnsi="仿宋" w:eastAsia="仿宋" w:cs="仿宋"/>
                <w:sz w:val="21"/>
                <w:szCs w:val="21"/>
                <w:lang w:val="en-US" w:eastAsia="zh-CN"/>
              </w:rPr>
              <w:t>配置</w:t>
            </w:r>
            <w:r>
              <w:rPr>
                <w:rFonts w:hint="eastAsia" w:ascii="仿宋" w:hAnsi="仿宋" w:eastAsia="仿宋" w:cs="仿宋"/>
                <w:sz w:val="21"/>
                <w:szCs w:val="21"/>
              </w:rPr>
              <w:t>、②</w:t>
            </w:r>
            <w:r>
              <w:rPr>
                <w:rFonts w:hint="eastAsia" w:ascii="仿宋" w:hAnsi="仿宋" w:eastAsia="仿宋" w:cs="仿宋"/>
                <w:sz w:val="21"/>
                <w:szCs w:val="21"/>
                <w:lang w:val="en-US" w:eastAsia="zh-CN"/>
              </w:rPr>
              <w:t>过期食品</w:t>
            </w:r>
            <w:r>
              <w:rPr>
                <w:rFonts w:hint="eastAsia" w:ascii="仿宋" w:hAnsi="仿宋" w:eastAsia="仿宋" w:cs="仿宋"/>
                <w:sz w:val="21"/>
                <w:szCs w:val="21"/>
              </w:rPr>
              <w:t>处理办法以及快速的退换货机制</w:t>
            </w:r>
            <w:r>
              <w:rPr>
                <w:rFonts w:hint="eastAsia" w:ascii="仿宋" w:hAnsi="仿宋" w:eastAsia="仿宋" w:cs="仿宋"/>
                <w:sz w:val="21"/>
                <w:szCs w:val="21"/>
                <w:lang w:eastAsia="zh-CN"/>
              </w:rPr>
              <w:t>、</w:t>
            </w:r>
            <w:r>
              <w:rPr>
                <w:rFonts w:hint="eastAsia" w:ascii="仿宋" w:hAnsi="仿宋" w:eastAsia="仿宋" w:cs="仿宋"/>
                <w:sz w:val="21"/>
                <w:szCs w:val="21"/>
              </w:rPr>
              <w:t>③</w:t>
            </w:r>
            <w:r>
              <w:rPr>
                <w:rFonts w:hint="eastAsia" w:ascii="仿宋" w:hAnsi="仿宋" w:eastAsia="仿宋" w:cs="仿宋"/>
                <w:sz w:val="21"/>
                <w:szCs w:val="21"/>
                <w:lang w:val="en-US" w:eastAsia="zh-CN"/>
              </w:rPr>
              <w:t>投诉处理方案</w:t>
            </w:r>
            <w:r>
              <w:rPr>
                <w:rFonts w:hint="eastAsia" w:ascii="仿宋" w:hAnsi="仿宋" w:eastAsia="仿宋" w:cs="仿宋"/>
                <w:sz w:val="21"/>
                <w:szCs w:val="21"/>
              </w:rPr>
              <w:t>，完整提供上述内容的得</w:t>
            </w:r>
            <w:r>
              <w:rPr>
                <w:rFonts w:hint="eastAsia" w:ascii="仿宋" w:hAnsi="仿宋" w:eastAsia="仿宋" w:cs="仿宋"/>
                <w:sz w:val="21"/>
                <w:szCs w:val="21"/>
                <w:highlight w:val="none"/>
                <w:lang w:val="en-US" w:eastAsia="zh-CN"/>
              </w:rPr>
              <w:t>12</w:t>
            </w:r>
            <w:r>
              <w:rPr>
                <w:rFonts w:hint="eastAsia" w:ascii="仿宋" w:hAnsi="仿宋" w:eastAsia="仿宋" w:cs="仿宋"/>
                <w:sz w:val="21"/>
                <w:szCs w:val="21"/>
              </w:rPr>
              <w:t>分，每缺少一项内容扣</w:t>
            </w:r>
            <w:r>
              <w:rPr>
                <w:rFonts w:hint="eastAsia" w:ascii="仿宋" w:hAnsi="仿宋" w:eastAsia="仿宋" w:cs="仿宋"/>
                <w:sz w:val="21"/>
                <w:szCs w:val="21"/>
                <w:highlight w:val="none"/>
                <w:lang w:val="en-US" w:eastAsia="zh-CN"/>
              </w:rPr>
              <w:t>4</w:t>
            </w:r>
            <w:r>
              <w:rPr>
                <w:rFonts w:hint="eastAsia" w:ascii="仿宋" w:hAnsi="仿宋" w:eastAsia="仿宋" w:cs="仿宋"/>
                <w:sz w:val="21"/>
                <w:szCs w:val="21"/>
              </w:rPr>
              <w:t>分，每项中每有一处错误或缺陷的扣</w:t>
            </w:r>
            <w:r>
              <w:rPr>
                <w:rFonts w:hint="eastAsia" w:ascii="仿宋" w:hAnsi="仿宋" w:eastAsia="仿宋" w:cs="仿宋"/>
                <w:sz w:val="21"/>
                <w:szCs w:val="21"/>
                <w:highlight w:val="none"/>
                <w:lang w:val="en-US" w:eastAsia="zh-CN"/>
              </w:rPr>
              <w:t>1～4</w:t>
            </w:r>
            <w:r>
              <w:rPr>
                <w:rFonts w:hint="eastAsia" w:ascii="仿宋" w:hAnsi="仿宋" w:eastAsia="仿宋" w:cs="仿宋"/>
                <w:sz w:val="21"/>
                <w:szCs w:val="21"/>
              </w:rPr>
              <w:t>分，每项分值最多扣</w:t>
            </w:r>
            <w:r>
              <w:rPr>
                <w:rFonts w:hint="eastAsia" w:ascii="仿宋" w:hAnsi="仿宋" w:eastAsia="仿宋" w:cs="仿宋"/>
                <w:sz w:val="21"/>
                <w:szCs w:val="21"/>
                <w:highlight w:val="none"/>
                <w:lang w:val="en-US" w:eastAsia="zh-CN"/>
              </w:rPr>
              <w:t>4</w:t>
            </w:r>
            <w:r>
              <w:rPr>
                <w:rFonts w:hint="eastAsia" w:ascii="仿宋" w:hAnsi="仿宋" w:eastAsia="仿宋" w:cs="仿宋"/>
                <w:sz w:val="21"/>
                <w:szCs w:val="21"/>
              </w:rPr>
              <w:t xml:space="preserve">分，未提供不得分。 </w:t>
            </w:r>
          </w:p>
          <w:p w14:paraId="4A204A51">
            <w:pPr>
              <w:keepNext w:val="0"/>
              <w:keepLines w:val="0"/>
              <w:pageBreakBefore w:val="0"/>
              <w:widowControl/>
              <w:numPr>
                <w:ilvl w:val="0"/>
                <w:numId w:val="0"/>
              </w:numPr>
              <w:kinsoku/>
              <w:wordWrap/>
              <w:overflowPunct/>
              <w:topLinePunct w:val="0"/>
              <w:autoSpaceDE/>
              <w:autoSpaceDN/>
              <w:bidi w:val="0"/>
              <w:adjustRightInd/>
              <w:snapToGrid/>
              <w:spacing w:after="100" w:afterLines="-2147483648" w:afterAutospacing="1" w:line="360" w:lineRule="exact"/>
              <w:ind w:leftChars="0"/>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3.</w:t>
            </w:r>
            <w:r>
              <w:rPr>
                <w:rFonts w:hint="eastAsia" w:ascii="仿宋" w:hAnsi="仿宋" w:eastAsia="仿宋" w:cs="仿宋"/>
                <w:sz w:val="21"/>
                <w:szCs w:val="21"/>
              </w:rPr>
              <w:t>供应商针对本项目需求提供食品安全应急预案，包含①食物过期、②食物中毒、③应急赔付方案、④应急团队人员安排、⑤食品安全事故处理流程及处理方法，完整提供上述内容的得</w:t>
            </w:r>
            <w:r>
              <w:rPr>
                <w:rFonts w:hint="eastAsia" w:ascii="仿宋" w:hAnsi="仿宋" w:eastAsia="仿宋" w:cs="仿宋"/>
                <w:sz w:val="21"/>
                <w:szCs w:val="21"/>
                <w:highlight w:val="none"/>
                <w:lang w:eastAsia="zh-CN"/>
              </w:rPr>
              <w:t>1</w:t>
            </w:r>
            <w:r>
              <w:rPr>
                <w:rFonts w:hint="eastAsia" w:ascii="仿宋" w:hAnsi="仿宋" w:eastAsia="仿宋" w:cs="仿宋"/>
                <w:sz w:val="21"/>
                <w:szCs w:val="21"/>
                <w:highlight w:val="none"/>
                <w:lang w:val="en-US" w:eastAsia="zh-CN"/>
              </w:rPr>
              <w:t>0</w:t>
            </w:r>
            <w:r>
              <w:rPr>
                <w:rFonts w:hint="eastAsia" w:ascii="仿宋" w:hAnsi="仿宋" w:eastAsia="仿宋" w:cs="仿宋"/>
                <w:sz w:val="21"/>
                <w:szCs w:val="21"/>
              </w:rPr>
              <w:t>分，每缺少一项内容扣</w:t>
            </w:r>
            <w:r>
              <w:rPr>
                <w:rFonts w:hint="eastAsia" w:ascii="仿宋" w:hAnsi="仿宋" w:eastAsia="仿宋" w:cs="仿宋"/>
                <w:sz w:val="21"/>
                <w:szCs w:val="21"/>
                <w:highlight w:val="none"/>
                <w:lang w:val="en-US" w:eastAsia="zh-CN"/>
              </w:rPr>
              <w:t>2</w:t>
            </w:r>
            <w:r>
              <w:rPr>
                <w:rFonts w:hint="eastAsia" w:ascii="仿宋" w:hAnsi="仿宋" w:eastAsia="仿宋" w:cs="仿宋"/>
                <w:sz w:val="21"/>
                <w:szCs w:val="21"/>
              </w:rPr>
              <w:t>分，每项中每有一处错误或缺陷的扣</w:t>
            </w:r>
            <w:r>
              <w:rPr>
                <w:rFonts w:hint="eastAsia" w:ascii="仿宋" w:hAnsi="仿宋" w:eastAsia="仿宋" w:cs="仿宋"/>
                <w:sz w:val="21"/>
                <w:szCs w:val="21"/>
                <w:highlight w:val="none"/>
                <w:lang w:val="en-US" w:eastAsia="zh-CN"/>
              </w:rPr>
              <w:t>1～2</w:t>
            </w:r>
            <w:r>
              <w:rPr>
                <w:rFonts w:hint="eastAsia" w:ascii="仿宋" w:hAnsi="仿宋" w:eastAsia="仿宋" w:cs="仿宋"/>
                <w:sz w:val="21"/>
                <w:szCs w:val="21"/>
              </w:rPr>
              <w:t>分，每项分值最多扣</w:t>
            </w:r>
            <w:r>
              <w:rPr>
                <w:rFonts w:hint="eastAsia" w:ascii="仿宋" w:hAnsi="仿宋" w:eastAsia="仿宋" w:cs="仿宋"/>
                <w:sz w:val="21"/>
                <w:szCs w:val="21"/>
                <w:highlight w:val="none"/>
                <w:lang w:eastAsia="zh-CN"/>
              </w:rPr>
              <w:t>2</w:t>
            </w:r>
            <w:r>
              <w:rPr>
                <w:rFonts w:hint="eastAsia" w:ascii="仿宋" w:hAnsi="仿宋" w:eastAsia="仿宋" w:cs="仿宋"/>
                <w:sz w:val="21"/>
                <w:szCs w:val="21"/>
              </w:rPr>
              <w:t>分，未提供不得分。</w:t>
            </w:r>
          </w:p>
          <w:p w14:paraId="2A9C8EA9">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vertAlign w:val="baseline"/>
                <w:lang w:eastAsia="zh-CN" w:bidi="ar"/>
              </w:rPr>
              <w:t>缺陷是指：内容与实际情况不符、内容与项目无关、内容表述错误、内容前后表述矛盾、内容与项目不匹配、项目信息错误、不符合本项目涉及的相关规范或标准要求的任意一种情形。</w:t>
            </w:r>
          </w:p>
        </w:tc>
        <w:tc>
          <w:tcPr>
            <w:tcW w:w="930" w:type="dxa"/>
          </w:tcPr>
          <w:p w14:paraId="042143EF">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2AC3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0" w:hRule="atLeast"/>
        </w:trPr>
        <w:tc>
          <w:tcPr>
            <w:tcW w:w="702" w:type="dxa"/>
            <w:vAlign w:val="center"/>
          </w:tcPr>
          <w:p w14:paraId="7C0C8CF3">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4</w:t>
            </w:r>
          </w:p>
        </w:tc>
        <w:tc>
          <w:tcPr>
            <w:tcW w:w="1155" w:type="dxa"/>
            <w:vAlign w:val="center"/>
          </w:tcPr>
          <w:p w14:paraId="35399DBB">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rPr>
              <w:t>食品安全责任险</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8</w:t>
            </w:r>
            <w:r>
              <w:rPr>
                <w:rFonts w:hint="eastAsia" w:ascii="仿宋" w:hAnsi="仿宋" w:eastAsia="仿宋" w:cs="仿宋"/>
                <w:sz w:val="21"/>
                <w:szCs w:val="21"/>
                <w:vertAlign w:val="baseline"/>
                <w:lang w:val="en-US" w:eastAsia="zh-CN" w:bidi="ar"/>
              </w:rPr>
              <w:t>%</w:t>
            </w:r>
            <w:r>
              <w:rPr>
                <w:rFonts w:hint="eastAsia" w:ascii="仿宋" w:hAnsi="仿宋" w:eastAsia="仿宋" w:cs="仿宋"/>
                <w:sz w:val="21"/>
                <w:szCs w:val="21"/>
                <w:lang w:eastAsia="zh-CN"/>
              </w:rPr>
              <w:t>）</w:t>
            </w:r>
          </w:p>
        </w:tc>
        <w:tc>
          <w:tcPr>
            <w:tcW w:w="675" w:type="dxa"/>
            <w:vAlign w:val="center"/>
          </w:tcPr>
          <w:p w14:paraId="3540E8C1">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8分</w:t>
            </w:r>
          </w:p>
        </w:tc>
        <w:tc>
          <w:tcPr>
            <w:tcW w:w="6540" w:type="dxa"/>
          </w:tcPr>
          <w:p w14:paraId="49CFC291">
            <w:pPr>
              <w:keepNext w:val="0"/>
              <w:keepLines w:val="0"/>
              <w:pageBreakBefore w:val="0"/>
              <w:widowControl/>
              <w:numPr>
                <w:ilvl w:val="-1"/>
                <w:numId w:val="0"/>
              </w:numPr>
              <w:kinsoku/>
              <w:wordWrap/>
              <w:overflowPunct/>
              <w:topLinePunct w:val="0"/>
              <w:autoSpaceDE/>
              <w:autoSpaceDN/>
              <w:bidi w:val="0"/>
              <w:adjustRightInd/>
              <w:snapToGrid/>
              <w:spacing w:beforeLines="-2147483648" w:after="100" w:afterLines="-2147483648" w:afterAutospacing="1" w:line="360" w:lineRule="exact"/>
              <w:jc w:val="left"/>
              <w:textAlignment w:val="auto"/>
              <w:rPr>
                <w:rFonts w:hint="eastAsia" w:ascii="仿宋" w:hAnsi="仿宋" w:eastAsia="仿宋" w:cs="仿宋"/>
                <w:i w:val="0"/>
                <w:iCs w:val="0"/>
                <w:caps w:val="0"/>
                <w:color w:val="404040"/>
                <w:spacing w:val="0"/>
                <w:sz w:val="21"/>
                <w:szCs w:val="21"/>
                <w:lang w:val="en-US" w:eastAsia="zh-CN"/>
              </w:rPr>
            </w:pPr>
            <w:r>
              <w:rPr>
                <w:rFonts w:hint="eastAsia" w:ascii="仿宋" w:hAnsi="仿宋" w:eastAsia="仿宋" w:cs="仿宋"/>
                <w:sz w:val="21"/>
                <w:szCs w:val="21"/>
              </w:rPr>
              <w:t>供应</w:t>
            </w:r>
            <w:r>
              <w:rPr>
                <w:rFonts w:hint="eastAsia" w:ascii="仿宋" w:hAnsi="仿宋" w:eastAsia="仿宋" w:cs="仿宋"/>
                <w:sz w:val="21"/>
                <w:szCs w:val="21"/>
                <w:lang w:val="en-US" w:eastAsia="zh-CN"/>
              </w:rPr>
              <w:t>商</w:t>
            </w:r>
            <w:r>
              <w:rPr>
                <w:rFonts w:hint="eastAsia" w:ascii="仿宋" w:hAnsi="仿宋" w:eastAsia="仿宋" w:cs="仿宋"/>
                <w:sz w:val="21"/>
                <w:szCs w:val="21"/>
              </w:rPr>
              <w:t>为本项目</w:t>
            </w:r>
            <w:r>
              <w:rPr>
                <w:rFonts w:hint="eastAsia" w:ascii="仿宋" w:hAnsi="仿宋" w:eastAsia="仿宋" w:cs="仿宋"/>
                <w:sz w:val="21"/>
                <w:szCs w:val="21"/>
                <w:lang w:val="en-US" w:eastAsia="zh-CN"/>
              </w:rPr>
              <w:t>投保</w:t>
            </w:r>
            <w:r>
              <w:rPr>
                <w:rFonts w:hint="eastAsia" w:ascii="仿宋" w:hAnsi="仿宋" w:eastAsia="仿宋" w:cs="仿宋"/>
                <w:sz w:val="21"/>
                <w:szCs w:val="21"/>
              </w:rPr>
              <w:t>食品安全责任险保险保险金额≥200万元的得</w:t>
            </w:r>
            <w:r>
              <w:rPr>
                <w:rFonts w:hint="eastAsia" w:ascii="仿宋" w:hAnsi="仿宋" w:eastAsia="仿宋" w:cs="仿宋"/>
                <w:sz w:val="21"/>
                <w:szCs w:val="21"/>
                <w:lang w:val="en-US" w:eastAsia="zh-CN"/>
              </w:rPr>
              <w:t>8</w:t>
            </w:r>
            <w:r>
              <w:rPr>
                <w:rFonts w:hint="eastAsia" w:ascii="仿宋" w:hAnsi="仿宋" w:eastAsia="仿宋" w:cs="仿宋"/>
                <w:sz w:val="21"/>
                <w:szCs w:val="21"/>
              </w:rPr>
              <w:t>分；150万元≤保险金额&lt;200万元的得</w:t>
            </w:r>
            <w:r>
              <w:rPr>
                <w:rFonts w:hint="eastAsia" w:ascii="仿宋" w:hAnsi="仿宋" w:eastAsia="仿宋" w:cs="仿宋"/>
                <w:sz w:val="21"/>
                <w:szCs w:val="21"/>
                <w:lang w:val="en-US" w:eastAsia="zh-CN"/>
              </w:rPr>
              <w:t>6</w:t>
            </w:r>
            <w:r>
              <w:rPr>
                <w:rFonts w:hint="eastAsia" w:ascii="仿宋" w:hAnsi="仿宋" w:eastAsia="仿宋" w:cs="仿宋"/>
                <w:sz w:val="21"/>
                <w:szCs w:val="21"/>
              </w:rPr>
              <w:t>分；100万元≤保险金额&lt;150万元的得</w:t>
            </w:r>
            <w:r>
              <w:rPr>
                <w:rFonts w:hint="eastAsia" w:ascii="仿宋" w:hAnsi="仿宋" w:eastAsia="仿宋" w:cs="仿宋"/>
                <w:sz w:val="21"/>
                <w:szCs w:val="21"/>
                <w:lang w:val="en-US" w:eastAsia="zh-CN"/>
              </w:rPr>
              <w:t>4</w:t>
            </w:r>
            <w:r>
              <w:rPr>
                <w:rFonts w:hint="eastAsia" w:ascii="仿宋" w:hAnsi="仿宋" w:eastAsia="仿宋" w:cs="仿宋"/>
                <w:sz w:val="21"/>
                <w:szCs w:val="21"/>
              </w:rPr>
              <w:t>分；保险金额&lt;100万元的得</w:t>
            </w:r>
            <w:r>
              <w:rPr>
                <w:rFonts w:hint="eastAsia" w:ascii="仿宋" w:hAnsi="仿宋" w:eastAsia="仿宋" w:cs="仿宋"/>
                <w:sz w:val="21"/>
                <w:szCs w:val="21"/>
                <w:lang w:val="en-US" w:eastAsia="zh-CN"/>
              </w:rPr>
              <w:t>2</w:t>
            </w:r>
            <w:r>
              <w:rPr>
                <w:rFonts w:hint="eastAsia" w:ascii="仿宋" w:hAnsi="仿宋" w:eastAsia="仿宋" w:cs="仿宋"/>
                <w:sz w:val="21"/>
                <w:szCs w:val="21"/>
              </w:rPr>
              <w:t>分。（①提供食品安全责任险保单复印件并加盖公章或承诺中标后签订合同时向采购人提供投保证明材料，未提供不得分</w:t>
            </w:r>
            <w:r>
              <w:rPr>
                <w:rFonts w:hint="eastAsia" w:ascii="仿宋" w:hAnsi="仿宋" w:eastAsia="仿宋" w:cs="仿宋"/>
                <w:sz w:val="21"/>
                <w:szCs w:val="21"/>
                <w:lang w:eastAsia="zh-CN"/>
              </w:rPr>
              <w:t>；</w:t>
            </w:r>
            <w:r>
              <w:rPr>
                <w:rFonts w:hint="eastAsia" w:ascii="仿宋" w:hAnsi="仿宋" w:eastAsia="仿宋" w:cs="仿宋"/>
                <w:sz w:val="21"/>
                <w:szCs w:val="21"/>
              </w:rPr>
              <w:t>②服务期间食品安全责任保险到期后，后续购买保险金额不得低于证明材料的保额，须提供承诺函，未提供不得分。）</w:t>
            </w:r>
          </w:p>
        </w:tc>
        <w:tc>
          <w:tcPr>
            <w:tcW w:w="930" w:type="dxa"/>
          </w:tcPr>
          <w:p w14:paraId="788DB9F7">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r w14:paraId="0C535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702" w:type="dxa"/>
            <w:vAlign w:val="center"/>
          </w:tcPr>
          <w:p w14:paraId="5FBE85A3">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5</w:t>
            </w:r>
          </w:p>
        </w:tc>
        <w:tc>
          <w:tcPr>
            <w:tcW w:w="1155" w:type="dxa"/>
            <w:vAlign w:val="center"/>
          </w:tcPr>
          <w:p w14:paraId="6EFD8674">
            <w:pPr>
              <w:widowControl/>
              <w:numPr>
                <w:ilvl w:val="-1"/>
                <w:numId w:val="0"/>
              </w:numPr>
              <w:spacing w:beforeLines="-2147483648" w:afterLines="-2147483648" w:line="240" w:lineRule="auto"/>
              <w:jc w:val="center"/>
              <w:rPr>
                <w:rFonts w:hint="eastAsia" w:ascii="仿宋" w:hAnsi="仿宋" w:eastAsia="仿宋" w:cs="仿宋"/>
                <w:sz w:val="21"/>
                <w:szCs w:val="21"/>
                <w:highlight w:val="none"/>
                <w:vertAlign w:val="baseline"/>
                <w:lang w:eastAsia="zh-CN" w:bidi="ar"/>
              </w:rPr>
            </w:pPr>
            <w:r>
              <w:rPr>
                <w:rFonts w:hint="eastAsia" w:ascii="仿宋" w:hAnsi="仿宋" w:eastAsia="仿宋" w:cs="仿宋"/>
                <w:sz w:val="21"/>
                <w:szCs w:val="21"/>
                <w:highlight w:val="none"/>
                <w:lang w:bidi="ar"/>
              </w:rPr>
              <w:t>场地设计方案</w:t>
            </w:r>
            <w:r>
              <w:rPr>
                <w:rFonts w:hint="eastAsia" w:ascii="仿宋" w:hAnsi="仿宋" w:eastAsia="仿宋" w:cs="仿宋"/>
                <w:sz w:val="21"/>
                <w:szCs w:val="21"/>
                <w:highlight w:val="none"/>
                <w:lang w:eastAsia="zh-CN" w:bidi="ar"/>
              </w:rPr>
              <w:t>（</w:t>
            </w:r>
            <w:r>
              <w:rPr>
                <w:rFonts w:hint="eastAsia" w:ascii="仿宋" w:hAnsi="仿宋" w:eastAsia="仿宋" w:cs="仿宋"/>
                <w:sz w:val="21"/>
                <w:szCs w:val="21"/>
                <w:highlight w:val="none"/>
                <w:vertAlign w:val="baseline"/>
                <w:lang w:val="en-US" w:eastAsia="zh-CN" w:bidi="ar"/>
              </w:rPr>
              <w:t>18%</w:t>
            </w:r>
            <w:r>
              <w:rPr>
                <w:rFonts w:hint="eastAsia" w:ascii="仿宋" w:hAnsi="仿宋" w:eastAsia="仿宋" w:cs="仿宋"/>
                <w:sz w:val="21"/>
                <w:szCs w:val="21"/>
                <w:highlight w:val="none"/>
                <w:lang w:eastAsia="zh-CN" w:bidi="ar"/>
              </w:rPr>
              <w:t>）</w:t>
            </w:r>
          </w:p>
        </w:tc>
        <w:tc>
          <w:tcPr>
            <w:tcW w:w="675" w:type="dxa"/>
            <w:vAlign w:val="center"/>
          </w:tcPr>
          <w:p w14:paraId="5F266813">
            <w:pPr>
              <w:widowControl/>
              <w:numPr>
                <w:ilvl w:val="-1"/>
                <w:numId w:val="0"/>
              </w:numPr>
              <w:spacing w:beforeLines="-2147483648" w:afterLines="-2147483648" w:line="240" w:lineRule="auto"/>
              <w:jc w:val="center"/>
              <w:rPr>
                <w:rFonts w:hint="default" w:ascii="仿宋" w:hAnsi="仿宋" w:eastAsia="仿宋" w:cs="仿宋"/>
                <w:sz w:val="21"/>
                <w:szCs w:val="21"/>
                <w:highlight w:val="none"/>
                <w:vertAlign w:val="baseline"/>
                <w:lang w:val="en-US" w:eastAsia="zh-CN" w:bidi="ar"/>
              </w:rPr>
            </w:pPr>
            <w:r>
              <w:rPr>
                <w:rFonts w:hint="eastAsia" w:ascii="仿宋" w:hAnsi="仿宋" w:eastAsia="仿宋" w:cs="仿宋"/>
                <w:sz w:val="21"/>
                <w:szCs w:val="21"/>
                <w:highlight w:val="none"/>
                <w:vertAlign w:val="baseline"/>
                <w:lang w:val="en-US" w:eastAsia="zh-CN" w:bidi="ar"/>
              </w:rPr>
              <w:t>18分</w:t>
            </w:r>
          </w:p>
        </w:tc>
        <w:tc>
          <w:tcPr>
            <w:tcW w:w="6540" w:type="dxa"/>
          </w:tcPr>
          <w:p w14:paraId="133E619A">
            <w:pPr>
              <w:pageBreakBefore w:val="0"/>
              <w:kinsoku/>
              <w:wordWrap/>
              <w:overflowPunct/>
              <w:topLinePunct w:val="0"/>
              <w:autoSpaceDE/>
              <w:autoSpaceDN/>
              <w:bidi w:val="0"/>
              <w:adjustRightInd/>
              <w:snapToGrid/>
              <w:spacing w:line="360" w:lineRule="exact"/>
              <w:jc w:val="left"/>
              <w:textAlignment w:val="auto"/>
              <w:rPr>
                <w:rFonts w:hint="eastAsia" w:ascii="仿宋" w:hAnsi="仿宋" w:eastAsia="仿宋" w:cs="仿宋"/>
                <w:sz w:val="21"/>
                <w:szCs w:val="21"/>
                <w:lang w:val="en-US" w:eastAsia="zh-CN"/>
              </w:rPr>
            </w:pPr>
            <w:r>
              <w:rPr>
                <w:rFonts w:hint="eastAsia" w:ascii="仿宋" w:hAnsi="仿宋" w:eastAsia="仿宋" w:cs="仿宋"/>
                <w:kern w:val="2"/>
                <w:sz w:val="21"/>
                <w:szCs w:val="21"/>
                <w:lang w:eastAsia="zh-CN"/>
              </w:rPr>
              <w:t>供应商</w:t>
            </w:r>
            <w:r>
              <w:rPr>
                <w:rFonts w:hint="eastAsia" w:ascii="仿宋" w:hAnsi="仿宋" w:eastAsia="仿宋" w:cs="仿宋"/>
                <w:kern w:val="2"/>
                <w:sz w:val="21"/>
                <w:szCs w:val="21"/>
              </w:rPr>
              <w:t>对现场环境进行踏勘</w:t>
            </w:r>
            <w:r>
              <w:rPr>
                <w:rFonts w:hint="eastAsia" w:ascii="仿宋" w:hAnsi="仿宋" w:eastAsia="仿宋" w:cs="仿宋"/>
                <w:kern w:val="2"/>
                <w:sz w:val="21"/>
                <w:szCs w:val="21"/>
                <w:lang w:val="en-US" w:eastAsia="zh-CN"/>
              </w:rPr>
              <w:t>后，提供便民服务中心区域设计图和概念图</w:t>
            </w:r>
            <w:r>
              <w:rPr>
                <w:rFonts w:hint="eastAsia" w:ascii="仿宋" w:hAnsi="仿宋" w:eastAsia="仿宋" w:cs="仿宋"/>
                <w:kern w:val="2"/>
                <w:sz w:val="21"/>
                <w:szCs w:val="21"/>
              </w:rPr>
              <w:t>。</w:t>
            </w:r>
          </w:p>
          <w:p w14:paraId="53C5D186">
            <w:pPr>
              <w:pageBreakBefore w:val="0"/>
              <w:widowControl/>
              <w:numPr>
                <w:ilvl w:val="-1"/>
                <w:numId w:val="0"/>
              </w:numPr>
              <w:kinsoku/>
              <w:wordWrap/>
              <w:overflowPunct/>
              <w:topLinePunct w:val="0"/>
              <w:autoSpaceDE/>
              <w:autoSpaceDN/>
              <w:bidi w:val="0"/>
              <w:adjustRightInd/>
              <w:snapToGrid/>
              <w:spacing w:line="360" w:lineRule="exact"/>
              <w:jc w:val="left"/>
              <w:textAlignment w:val="auto"/>
              <w:rPr>
                <w:rFonts w:hint="eastAsia" w:ascii="仿宋" w:hAnsi="仿宋" w:eastAsia="仿宋" w:cs="仿宋"/>
                <w:sz w:val="21"/>
                <w:szCs w:val="21"/>
                <w:highlight w:val="none"/>
              </w:rPr>
            </w:pPr>
            <w:r>
              <w:rPr>
                <w:rFonts w:hint="eastAsia" w:ascii="仿宋" w:hAnsi="仿宋" w:eastAsia="仿宋" w:cs="仿宋"/>
                <w:snapToGrid/>
                <w:sz w:val="21"/>
                <w:szCs w:val="21"/>
                <w:highlight w:val="none"/>
              </w:rPr>
              <w:t>①</w:t>
            </w:r>
            <w:r>
              <w:rPr>
                <w:rFonts w:hint="eastAsia" w:ascii="仿宋" w:hAnsi="仿宋" w:eastAsia="仿宋" w:cs="仿宋"/>
                <w:sz w:val="21"/>
                <w:szCs w:val="21"/>
                <w:highlight w:val="none"/>
              </w:rPr>
              <w:t>设计理念、</w:t>
            </w:r>
            <w:r>
              <w:rPr>
                <w:rFonts w:hint="eastAsia" w:ascii="仿宋" w:hAnsi="仿宋" w:eastAsia="仿宋" w:cs="仿宋"/>
                <w:sz w:val="21"/>
                <w:szCs w:val="21"/>
                <w:highlight w:val="none"/>
                <w:lang w:val="en-US" w:eastAsia="zh-CN"/>
              </w:rPr>
              <w:t>色彩搭配与医院整体装修装饰风格完美契合，</w:t>
            </w:r>
            <w:r>
              <w:rPr>
                <w:rFonts w:hint="eastAsia" w:ascii="仿宋" w:hAnsi="仿宋" w:eastAsia="仿宋" w:cs="仿宋"/>
                <w:sz w:val="21"/>
                <w:szCs w:val="21"/>
                <w:highlight w:val="none"/>
                <w:lang w:eastAsia="zh-CN"/>
              </w:rPr>
              <w:t>能全面体现医院儿童友好理念，</w:t>
            </w:r>
            <w:r>
              <w:rPr>
                <w:rFonts w:hint="eastAsia" w:ascii="仿宋" w:hAnsi="仿宋" w:eastAsia="仿宋" w:cs="仿宋"/>
                <w:sz w:val="21"/>
                <w:szCs w:val="21"/>
                <w:highlight w:val="none"/>
              </w:rPr>
              <w:t>具有很强的可实施性</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得</w:t>
            </w:r>
            <w:r>
              <w:rPr>
                <w:rFonts w:hint="eastAsia" w:ascii="仿宋" w:hAnsi="仿宋" w:eastAsia="仿宋" w:cs="仿宋"/>
                <w:sz w:val="21"/>
                <w:szCs w:val="21"/>
                <w:highlight w:val="none"/>
                <w:lang w:val="en-US" w:eastAsia="zh-CN"/>
              </w:rPr>
              <w:t>12～18</w:t>
            </w:r>
            <w:r>
              <w:rPr>
                <w:rFonts w:hint="eastAsia" w:ascii="仿宋" w:hAnsi="仿宋" w:eastAsia="仿宋" w:cs="仿宋"/>
                <w:sz w:val="21"/>
                <w:szCs w:val="21"/>
                <w:highlight w:val="none"/>
              </w:rPr>
              <w:t>分。</w:t>
            </w:r>
          </w:p>
          <w:p w14:paraId="107D5E38">
            <w:pPr>
              <w:pageBreakBefore w:val="0"/>
              <w:widowControl/>
              <w:numPr>
                <w:ilvl w:val="-1"/>
                <w:numId w:val="0"/>
              </w:numPr>
              <w:kinsoku/>
              <w:wordWrap/>
              <w:overflowPunct/>
              <w:topLinePunct w:val="0"/>
              <w:autoSpaceDE/>
              <w:autoSpaceDN/>
              <w:bidi w:val="0"/>
              <w:adjustRightInd/>
              <w:snapToGrid/>
              <w:spacing w:line="360" w:lineRule="exact"/>
              <w:jc w:val="left"/>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②设计理念、</w:t>
            </w:r>
            <w:r>
              <w:rPr>
                <w:rFonts w:hint="eastAsia" w:ascii="仿宋" w:hAnsi="仿宋" w:eastAsia="仿宋" w:cs="仿宋"/>
                <w:sz w:val="21"/>
                <w:szCs w:val="21"/>
                <w:highlight w:val="none"/>
                <w:lang w:val="en-US" w:eastAsia="zh-CN"/>
              </w:rPr>
              <w:t>色彩搭配与医院</w:t>
            </w:r>
            <w:r>
              <w:rPr>
                <w:rFonts w:hint="eastAsia" w:ascii="仿宋" w:hAnsi="仿宋" w:eastAsia="仿宋" w:cs="仿宋"/>
                <w:sz w:val="21"/>
                <w:szCs w:val="21"/>
                <w:highlight w:val="none"/>
                <w:lang w:eastAsia="zh-CN"/>
              </w:rPr>
              <w:t>整体装修装饰风格</w:t>
            </w:r>
            <w:r>
              <w:rPr>
                <w:rFonts w:hint="eastAsia" w:ascii="仿宋" w:hAnsi="仿宋" w:eastAsia="仿宋" w:cs="仿宋"/>
                <w:sz w:val="21"/>
                <w:szCs w:val="21"/>
                <w:highlight w:val="none"/>
                <w:lang w:val="en-US" w:eastAsia="zh-CN"/>
              </w:rPr>
              <w:t>较为搭配</w:t>
            </w:r>
            <w:r>
              <w:rPr>
                <w:rFonts w:hint="eastAsia" w:ascii="仿宋" w:hAnsi="仿宋" w:eastAsia="仿宋" w:cs="仿宋"/>
                <w:sz w:val="21"/>
                <w:szCs w:val="21"/>
                <w:highlight w:val="none"/>
                <w:lang w:eastAsia="zh-CN"/>
              </w:rPr>
              <w:t>，能</w:t>
            </w:r>
            <w:r>
              <w:rPr>
                <w:rFonts w:hint="eastAsia" w:ascii="仿宋" w:hAnsi="仿宋" w:eastAsia="仿宋" w:cs="仿宋"/>
                <w:sz w:val="21"/>
                <w:szCs w:val="21"/>
                <w:highlight w:val="none"/>
                <w:lang w:val="en-US" w:eastAsia="zh-CN"/>
              </w:rPr>
              <w:t>较好</w:t>
            </w:r>
            <w:r>
              <w:rPr>
                <w:rFonts w:hint="eastAsia" w:ascii="仿宋" w:hAnsi="仿宋" w:eastAsia="仿宋" w:cs="仿宋"/>
                <w:sz w:val="21"/>
                <w:szCs w:val="21"/>
                <w:highlight w:val="none"/>
                <w:lang w:eastAsia="zh-CN"/>
              </w:rPr>
              <w:t>体现医院儿童友好理念，</w:t>
            </w:r>
            <w:r>
              <w:rPr>
                <w:rFonts w:hint="eastAsia" w:ascii="仿宋" w:hAnsi="仿宋" w:eastAsia="仿宋" w:cs="仿宋"/>
                <w:sz w:val="21"/>
                <w:szCs w:val="21"/>
                <w:highlight w:val="none"/>
              </w:rPr>
              <w:t>具有可实施性的</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得</w:t>
            </w:r>
            <w:r>
              <w:rPr>
                <w:rFonts w:hint="eastAsia" w:ascii="仿宋" w:hAnsi="仿宋" w:eastAsia="仿宋" w:cs="仿宋"/>
                <w:sz w:val="21"/>
                <w:szCs w:val="21"/>
                <w:highlight w:val="none"/>
                <w:lang w:val="en-US" w:eastAsia="zh-CN"/>
              </w:rPr>
              <w:t>6～12</w:t>
            </w:r>
            <w:r>
              <w:rPr>
                <w:rFonts w:hint="eastAsia" w:ascii="仿宋" w:hAnsi="仿宋" w:eastAsia="仿宋" w:cs="仿宋"/>
                <w:sz w:val="21"/>
                <w:szCs w:val="21"/>
                <w:highlight w:val="none"/>
              </w:rPr>
              <w:t>分；</w:t>
            </w:r>
          </w:p>
          <w:p w14:paraId="518D189C">
            <w:pPr>
              <w:pageBreakBefore w:val="0"/>
              <w:widowControl/>
              <w:numPr>
                <w:ilvl w:val="-1"/>
                <w:numId w:val="0"/>
              </w:numPr>
              <w:kinsoku/>
              <w:wordWrap/>
              <w:overflowPunct/>
              <w:topLinePunct w:val="0"/>
              <w:autoSpaceDE/>
              <w:autoSpaceDN/>
              <w:bidi w:val="0"/>
              <w:adjustRightInd/>
              <w:snapToGrid/>
              <w:spacing w:line="360" w:lineRule="exact"/>
              <w:jc w:val="left"/>
              <w:textAlignment w:val="auto"/>
              <w:rPr>
                <w:rFonts w:hint="eastAsia" w:ascii="仿宋" w:hAnsi="仿宋" w:eastAsia="仿宋" w:cs="仿宋"/>
                <w:sz w:val="21"/>
                <w:szCs w:val="21"/>
                <w:highlight w:val="none"/>
              </w:rPr>
            </w:pPr>
            <w:r>
              <w:rPr>
                <w:rFonts w:hint="eastAsia" w:ascii="仿宋" w:hAnsi="仿宋" w:eastAsia="仿宋" w:cs="仿宋"/>
                <w:sz w:val="21"/>
                <w:szCs w:val="21"/>
                <w:highlight w:val="none"/>
              </w:rPr>
              <w:t>③设计理念、</w:t>
            </w:r>
            <w:r>
              <w:rPr>
                <w:rFonts w:hint="eastAsia" w:ascii="仿宋" w:hAnsi="仿宋" w:eastAsia="仿宋" w:cs="仿宋"/>
                <w:sz w:val="21"/>
                <w:szCs w:val="21"/>
                <w:highlight w:val="none"/>
                <w:lang w:val="en-US" w:eastAsia="zh-CN"/>
              </w:rPr>
              <w:t>色彩搭配</w:t>
            </w:r>
            <w:r>
              <w:rPr>
                <w:rFonts w:hint="eastAsia" w:ascii="仿宋" w:hAnsi="仿宋" w:eastAsia="仿宋" w:cs="仿宋"/>
                <w:sz w:val="21"/>
                <w:szCs w:val="21"/>
                <w:highlight w:val="none"/>
              </w:rPr>
              <w:t>一般</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设计不能体现理念、设计合理</w:t>
            </w:r>
            <w:r>
              <w:rPr>
                <w:rFonts w:hint="eastAsia" w:ascii="仿宋" w:hAnsi="仿宋" w:eastAsia="仿宋" w:cs="仿宋"/>
                <w:sz w:val="21"/>
                <w:szCs w:val="21"/>
                <w:highlight w:val="none"/>
                <w:lang w:val="en-US" w:eastAsia="zh-CN"/>
              </w:rPr>
              <w:t>性一般</w:t>
            </w:r>
            <w:r>
              <w:rPr>
                <w:rFonts w:hint="eastAsia" w:ascii="仿宋" w:hAnsi="仿宋" w:eastAsia="仿宋" w:cs="仿宋"/>
                <w:sz w:val="21"/>
                <w:szCs w:val="21"/>
                <w:highlight w:val="none"/>
                <w:lang w:eastAsia="zh-CN"/>
              </w:rPr>
              <w:t>，</w:t>
            </w:r>
            <w:r>
              <w:rPr>
                <w:rFonts w:hint="eastAsia" w:ascii="仿宋" w:hAnsi="仿宋" w:eastAsia="仿宋" w:cs="仿宋"/>
                <w:sz w:val="21"/>
                <w:szCs w:val="21"/>
                <w:highlight w:val="none"/>
              </w:rPr>
              <w:t>实施性一般得</w:t>
            </w:r>
            <w:r>
              <w:rPr>
                <w:rFonts w:hint="eastAsia" w:ascii="仿宋" w:hAnsi="仿宋" w:eastAsia="仿宋" w:cs="仿宋"/>
                <w:sz w:val="21"/>
                <w:szCs w:val="21"/>
                <w:highlight w:val="none"/>
                <w:lang w:val="en-US" w:eastAsia="zh-CN"/>
              </w:rPr>
              <w:t>0～6</w:t>
            </w:r>
            <w:r>
              <w:rPr>
                <w:rFonts w:hint="eastAsia" w:ascii="仿宋" w:hAnsi="仿宋" w:eastAsia="仿宋" w:cs="仿宋"/>
                <w:sz w:val="21"/>
                <w:szCs w:val="21"/>
                <w:highlight w:val="none"/>
              </w:rPr>
              <w:t>分；</w:t>
            </w:r>
          </w:p>
          <w:p w14:paraId="310250FA">
            <w:pPr>
              <w:pageBreakBefore w:val="0"/>
              <w:widowControl/>
              <w:numPr>
                <w:ilvl w:val="-1"/>
                <w:numId w:val="0"/>
              </w:numPr>
              <w:kinsoku/>
              <w:wordWrap/>
              <w:overflowPunct/>
              <w:topLinePunct w:val="0"/>
              <w:autoSpaceDE/>
              <w:autoSpaceDN/>
              <w:bidi w:val="0"/>
              <w:adjustRightInd/>
              <w:snapToGrid/>
              <w:spacing w:beforeLines="-2147483648" w:afterLines="-2147483648" w:line="360" w:lineRule="exact"/>
              <w:jc w:val="left"/>
              <w:textAlignment w:val="auto"/>
              <w:rPr>
                <w:rFonts w:hint="eastAsia" w:ascii="仿宋" w:hAnsi="仿宋" w:eastAsia="仿宋" w:cs="仿宋"/>
                <w:sz w:val="21"/>
                <w:szCs w:val="21"/>
                <w:lang w:eastAsia="zh-CN"/>
              </w:rPr>
            </w:pPr>
            <w:r>
              <w:rPr>
                <w:rFonts w:hint="eastAsia" w:ascii="仿宋" w:hAnsi="仿宋" w:eastAsia="仿宋" w:cs="仿宋"/>
                <w:sz w:val="21"/>
                <w:szCs w:val="21"/>
                <w:highlight w:val="none"/>
                <w:lang w:val="en-US" w:eastAsia="zh-CN"/>
              </w:rPr>
              <w:t>④未提供不得分。</w:t>
            </w:r>
          </w:p>
        </w:tc>
        <w:tc>
          <w:tcPr>
            <w:tcW w:w="930" w:type="dxa"/>
          </w:tcPr>
          <w:p w14:paraId="020AD100">
            <w:pPr>
              <w:widowControl/>
              <w:numPr>
                <w:ilvl w:val="-1"/>
                <w:numId w:val="0"/>
              </w:numPr>
              <w:spacing w:beforeLines="-2147483648" w:afterLines="-2147483648" w:line="240" w:lineRule="auto"/>
              <w:jc w:val="left"/>
              <w:rPr>
                <w:rFonts w:hint="eastAsia" w:ascii="仿宋" w:hAnsi="仿宋" w:eastAsia="仿宋" w:cs="仿宋"/>
                <w:sz w:val="21"/>
                <w:szCs w:val="21"/>
                <w:highlight w:val="none"/>
                <w:vertAlign w:val="baseline"/>
                <w:lang w:eastAsia="zh-CN" w:bidi="ar"/>
              </w:rPr>
            </w:pPr>
          </w:p>
        </w:tc>
      </w:tr>
    </w:tbl>
    <w:p w14:paraId="509563F3">
      <w:pPr>
        <w:rPr>
          <w:rFonts w:hint="default"/>
          <w:lang w:val="en-US" w:eastAsia="zh-CN"/>
        </w:rPr>
      </w:pPr>
    </w:p>
    <w:p w14:paraId="2B8FA1B5">
      <w:pPr>
        <w:rPr>
          <w:rFonts w:hint="eastAsia"/>
          <w:lang w:val="en-US" w:eastAsia="zh-CN"/>
        </w:rPr>
      </w:pPr>
    </w:p>
    <w:p w14:paraId="0951B5D5"/>
    <w:sectPr>
      <w:footerReference r:id="rId3" w:type="default"/>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E5317">
    <w:pPr>
      <w:pStyle w:val="4"/>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14:paraId="402BFBD0">
                              <w:pPr>
                                <w:pStyle w:val="4"/>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3"/>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14:paraId="402BFBD0">
                        <w:pPr>
                          <w:pStyle w:val="4"/>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3"/>
                    </w:pPr>
                  </w:p>
                </w:txbxContent>
              </v:textbox>
            </v:shape>
          </w:pict>
        </mc:Fallback>
      </mc:AlternateContent>
    </w:r>
  </w:p>
  <w:p w14:paraId="00BF4BC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1C18AE"/>
    <w:rsid w:val="4C1C1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footer"/>
    <w:basedOn w:val="1"/>
    <w:unhideWhenUsed/>
    <w:qFormat/>
    <w:uiPriority w:val="99"/>
    <w:pPr>
      <w:tabs>
        <w:tab w:val="center" w:pos="4153"/>
        <w:tab w:val="right" w:pos="8306"/>
      </w:tabs>
      <w:snapToGrid w:val="0"/>
      <w:jc w:val="left"/>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2025-04-07T00:39:00Z</dcterms:created>
  <dc:creator>邱玥</dc:creator>
  <cp:lastModifiedBy>邱玥</cp:lastModifiedBy>
  <dcterms:modified xsi:type="dcterms:W3CDTF">2025-04-07T00:40:14Z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C9569CDDCBAA4B7890A7224DFE934A03_11</vt:lpwstr>
  </property>
</Properties>
</file>