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34F37F">
      <w:pPr>
        <w:spacing w:beforeLines="0" w:line="500" w:lineRule="exact"/>
        <w:jc w:val="left"/>
        <w:rPr>
          <w:rFonts w:hint="eastAsia" w:ascii="Arial" w:hAnsi="Arial" w:eastAsia="黑体" w:cs="Times New Roman"/>
          <w:b/>
          <w:bCs/>
          <w:sz w:val="32"/>
          <w:szCs w:val="32"/>
        </w:rPr>
      </w:pPr>
      <w:bookmarkStart w:id="0" w:name="_Hlt101233737"/>
      <w:bookmarkEnd w:id="0"/>
      <w:bookmarkStart w:id="1" w:name="_Hlt101843627"/>
      <w:bookmarkEnd w:id="1"/>
      <w:r>
        <w:rPr>
          <w:rFonts w:hint="eastAsia" w:ascii="Arial" w:hAnsi="Arial" w:eastAsia="黑体" w:cs="Times New Roman"/>
          <w:b/>
          <w:bCs/>
          <w:sz w:val="32"/>
          <w:szCs w:val="32"/>
        </w:rPr>
        <w:t>附件1：</w:t>
      </w:r>
      <w:r>
        <w:rPr>
          <w:rFonts w:hint="eastAsia" w:ascii="Arial" w:hAnsi="Arial" w:eastAsia="黑体" w:cs="Times New Roman"/>
          <w:b/>
          <w:bCs/>
          <w:sz w:val="32"/>
          <w:szCs w:val="32"/>
          <w:lang w:val="en-US" w:eastAsia="zh-CN"/>
        </w:rPr>
        <w:t>项目</w:t>
      </w:r>
      <w:r>
        <w:rPr>
          <w:rFonts w:hint="eastAsia" w:ascii="Arial" w:hAnsi="Arial" w:eastAsia="黑体" w:cs="Times New Roman"/>
          <w:b/>
          <w:bCs/>
          <w:sz w:val="32"/>
          <w:szCs w:val="32"/>
        </w:rPr>
        <w:t>需求</w:t>
      </w:r>
    </w:p>
    <w:p w14:paraId="2D9CB603">
      <w:pPr>
        <w:spacing w:beforeLines="0" w:line="500" w:lineRule="exact"/>
        <w:rPr>
          <w:rFonts w:hint="eastAsia" w:ascii="宋体" w:hAnsi="宋体" w:eastAsia="宋体" w:cs="宋体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2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sz w:val="24"/>
          <w:highlight w:val="none"/>
        </w:rPr>
        <w:t>本章中标注“</w:t>
      </w: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★</w:t>
      </w:r>
      <w:r>
        <w:rPr>
          <w:rFonts w:hint="eastAsia" w:ascii="宋体" w:hAnsi="宋体" w:eastAsia="宋体" w:cs="宋体"/>
          <w:sz w:val="24"/>
          <w:highlight w:val="none"/>
        </w:rPr>
        <w:t>”的条款为本项目的实质性条款，投标人不满足的，将按照无效投标处理。</w:t>
      </w:r>
      <w:r>
        <w:rPr>
          <w:rFonts w:hint="eastAsia" w:ascii="宋体" w:hAnsi="宋体" w:eastAsia="宋体" w:cs="宋体"/>
          <w:b w:val="0"/>
          <w:bCs w:val="0"/>
          <w:sz w:val="24"/>
          <w:szCs w:val="22"/>
          <w:highlight w:val="none"/>
          <w:lang w:eastAsia="zh-CN"/>
        </w:rPr>
        <w:t>）</w:t>
      </w:r>
    </w:p>
    <w:p w14:paraId="32C9D1DC">
      <w:pPr>
        <w:spacing w:beforeLines="0" w:line="500" w:lineRule="exact"/>
        <w:rPr>
          <w:rFonts w:hint="eastAsia" w:ascii="宋体" w:hAnsi="宋体" w:eastAsia="宋体" w:cs="宋体"/>
          <w:b w:val="0"/>
          <w:bCs w:val="0"/>
          <w:sz w:val="24"/>
          <w:szCs w:val="22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2"/>
          <w:highlight w:val="none"/>
          <w:lang w:val="en-US" w:eastAsia="zh-CN"/>
        </w:rPr>
        <w:t>一、</w:t>
      </w:r>
      <w:r>
        <w:rPr>
          <w:rFonts w:hint="eastAsia" w:ascii="宋体" w:hAnsi="宋体" w:eastAsia="宋体" w:cs="宋体"/>
          <w:b/>
          <w:bCs/>
          <w:sz w:val="24"/>
          <w:szCs w:val="22"/>
          <w:highlight w:val="none"/>
        </w:rPr>
        <w:t>项目概述</w:t>
      </w:r>
      <w:r>
        <w:rPr>
          <w:rFonts w:hint="eastAsia" w:ascii="宋体" w:hAnsi="宋体" w:eastAsia="宋体" w:cs="宋体"/>
          <w:b/>
          <w:bCs/>
          <w:sz w:val="24"/>
          <w:szCs w:val="22"/>
          <w:highlight w:val="none"/>
          <w:lang w:eastAsia="zh-CN"/>
        </w:rPr>
        <w:t>：</w:t>
      </w:r>
    </w:p>
    <w:p w14:paraId="7BAA23BE">
      <w:pPr>
        <w:spacing w:beforeLines="0" w:line="500" w:lineRule="exact"/>
        <w:ind w:firstLine="480" w:firstLineChars="200"/>
        <w:rPr>
          <w:rFonts w:hint="eastAsia"/>
        </w:rPr>
      </w:pPr>
      <w:r>
        <w:rPr>
          <w:rFonts w:hint="eastAsia" w:ascii="宋体" w:hAnsi="宋体" w:eastAsia="宋体" w:cs="宋体"/>
          <w:sz w:val="24"/>
          <w:szCs w:val="22"/>
          <w:highlight w:val="none"/>
        </w:rPr>
        <w:t>本项目</w:t>
      </w:r>
      <w:r>
        <w:rPr>
          <w:rFonts w:hint="eastAsia" w:ascii="宋体" w:hAnsi="宋体" w:eastAsia="宋体" w:cs="宋体"/>
          <w:sz w:val="24"/>
          <w:szCs w:val="22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2"/>
          <w:highlight w:val="none"/>
        </w:rPr>
        <w:t>个包，采购成都市龙泉驿区妇幼保健院</w:t>
      </w:r>
      <w:r>
        <w:rPr>
          <w:rFonts w:hint="eastAsia" w:ascii="宋体" w:hAnsi="宋体" w:eastAsia="宋体" w:cs="宋体"/>
          <w:b w:val="0"/>
          <w:sz w:val="24"/>
          <w:szCs w:val="22"/>
          <w:highlight w:val="none"/>
          <w:lang w:val="en-US" w:eastAsia="zh-CN"/>
        </w:rPr>
        <w:t>AI模型及应用服务项目</w:t>
      </w:r>
      <w:r>
        <w:rPr>
          <w:rFonts w:hint="eastAsia" w:ascii="宋体" w:hAnsi="宋体" w:eastAsia="宋体" w:cs="宋体"/>
          <w:sz w:val="24"/>
          <w:szCs w:val="22"/>
          <w:highlight w:val="none"/>
        </w:rPr>
        <w:t>，具体内容如下：</w:t>
      </w:r>
    </w:p>
    <w:tbl>
      <w:tblPr>
        <w:tblStyle w:val="14"/>
        <w:tblW w:w="104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2152"/>
        <w:gridCol w:w="727"/>
        <w:gridCol w:w="866"/>
        <w:gridCol w:w="2111"/>
        <w:gridCol w:w="3875"/>
      </w:tblGrid>
      <w:tr w14:paraId="14E744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688" w:type="dxa"/>
            <w:vAlign w:val="center"/>
          </w:tcPr>
          <w:p w14:paraId="3BE20418">
            <w:pPr>
              <w:pStyle w:val="5"/>
              <w:spacing w:beforeLines="0" w:after="0"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包号</w:t>
            </w:r>
          </w:p>
        </w:tc>
        <w:tc>
          <w:tcPr>
            <w:tcW w:w="2152" w:type="dxa"/>
            <w:vAlign w:val="center"/>
          </w:tcPr>
          <w:p w14:paraId="030099C6">
            <w:pPr>
              <w:pStyle w:val="5"/>
              <w:spacing w:beforeLines="0" w:after="0"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标的名称</w:t>
            </w:r>
          </w:p>
        </w:tc>
        <w:tc>
          <w:tcPr>
            <w:tcW w:w="727" w:type="dxa"/>
            <w:vAlign w:val="center"/>
          </w:tcPr>
          <w:p w14:paraId="537F17C5">
            <w:pPr>
              <w:pStyle w:val="5"/>
              <w:spacing w:beforeLines="0" w:after="0"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866" w:type="dxa"/>
            <w:vAlign w:val="center"/>
          </w:tcPr>
          <w:p w14:paraId="4D75BC0F">
            <w:pPr>
              <w:pStyle w:val="5"/>
              <w:spacing w:beforeLines="0" w:after="0" w:line="50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2111" w:type="dxa"/>
            <w:vAlign w:val="center"/>
          </w:tcPr>
          <w:p w14:paraId="144EE2CB">
            <w:pPr>
              <w:pStyle w:val="5"/>
              <w:spacing w:beforeLines="0" w:after="0" w:line="5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最高限价（元）</w:t>
            </w:r>
          </w:p>
        </w:tc>
        <w:tc>
          <w:tcPr>
            <w:tcW w:w="3875" w:type="dxa"/>
            <w:vAlign w:val="center"/>
          </w:tcPr>
          <w:p w14:paraId="02E47ED3">
            <w:pPr>
              <w:pStyle w:val="5"/>
              <w:spacing w:beforeLines="0" w:after="0" w:line="50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项目概况</w:t>
            </w:r>
          </w:p>
        </w:tc>
      </w:tr>
      <w:tr w14:paraId="5DEBE0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688" w:type="dxa"/>
            <w:vAlign w:val="center"/>
          </w:tcPr>
          <w:p w14:paraId="225C8AD4">
            <w:pPr>
              <w:pStyle w:val="5"/>
              <w:spacing w:beforeLines="0" w:after="0"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01</w:t>
            </w:r>
          </w:p>
        </w:tc>
        <w:tc>
          <w:tcPr>
            <w:tcW w:w="2152" w:type="dxa"/>
            <w:vAlign w:val="center"/>
          </w:tcPr>
          <w:p w14:paraId="2C82BB60">
            <w:pPr>
              <w:pStyle w:val="5"/>
              <w:spacing w:beforeLines="0" w:after="0"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lang w:val="en-US" w:eastAsia="zh-CN"/>
              </w:rPr>
              <w:t>AI模型及应用服务项目</w:t>
            </w:r>
          </w:p>
        </w:tc>
        <w:tc>
          <w:tcPr>
            <w:tcW w:w="727" w:type="dxa"/>
            <w:vAlign w:val="center"/>
          </w:tcPr>
          <w:p w14:paraId="5E3F85EE">
            <w:pPr>
              <w:pStyle w:val="5"/>
              <w:spacing w:beforeLines="0" w:after="0"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866" w:type="dxa"/>
            <w:vAlign w:val="center"/>
          </w:tcPr>
          <w:p w14:paraId="2288067A">
            <w:pPr>
              <w:pStyle w:val="5"/>
              <w:spacing w:beforeLines="0" w:after="0"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项</w:t>
            </w:r>
          </w:p>
        </w:tc>
        <w:tc>
          <w:tcPr>
            <w:tcW w:w="2111" w:type="dxa"/>
            <w:vAlign w:val="center"/>
          </w:tcPr>
          <w:p w14:paraId="76614FD6">
            <w:pPr>
              <w:pStyle w:val="5"/>
              <w:spacing w:beforeLines="0" w:after="0" w:line="5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297000.00</w:t>
            </w:r>
          </w:p>
        </w:tc>
        <w:tc>
          <w:tcPr>
            <w:tcW w:w="3875" w:type="dxa"/>
            <w:vAlign w:val="center"/>
          </w:tcPr>
          <w:p w14:paraId="1DF997D6">
            <w:pPr>
              <w:spacing w:line="460" w:lineRule="exact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为提升医院智慧化服务水平，优化患者就诊体验，现需建设智能助手服务体系。本项目包含智能分导诊服务、"两癌"筛查决策支持、用户健康数据分析及智能提醒四大核心模块，需与现有信息系统无缝对接，确保服务精准性、数据安全性及系统稳定性。</w:t>
            </w:r>
          </w:p>
        </w:tc>
      </w:tr>
    </w:tbl>
    <w:p w14:paraId="5D8361E1"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line="500" w:lineRule="exact"/>
        <w:ind w:left="0" w:firstLine="0" w:firstLineChars="0"/>
        <w:textAlignment w:val="auto"/>
        <w:rPr>
          <w:rFonts w:hint="eastAsia" w:ascii="宋体" w:hAnsi="宋体" w:eastAsia="宋体" w:cs="宋体"/>
          <w:b/>
          <w:bCs/>
          <w:sz w:val="24"/>
          <w:szCs w:val="22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★</w:t>
      </w:r>
      <w:r>
        <w:rPr>
          <w:rFonts w:hint="eastAsia" w:ascii="宋体" w:hAnsi="宋体" w:eastAsia="宋体" w:cs="宋体"/>
          <w:b/>
          <w:bCs/>
          <w:sz w:val="24"/>
          <w:szCs w:val="22"/>
          <w:highlight w:val="none"/>
          <w:lang w:val="en-US" w:eastAsia="zh-CN"/>
        </w:rPr>
        <w:t>二、商务要求：</w:t>
      </w:r>
    </w:p>
    <w:p w14:paraId="7145D376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Autospacing="0" w:line="500" w:lineRule="exact"/>
        <w:ind w:left="0" w:right="0" w:firstLine="0" w:firstLineChars="0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1．交货时间及地点</w:t>
      </w:r>
    </w:p>
    <w:p w14:paraId="4FA45ACC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Autospacing="0" w:line="500" w:lineRule="exact"/>
        <w:ind w:left="0" w:right="0" w:firstLine="420" w:firstLineChars="175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1.1 交货时间：</w:t>
      </w:r>
    </w:p>
    <w:p w14:paraId="50789AB7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Autospacing="0" w:line="500" w:lineRule="exact"/>
        <w:ind w:left="0" w:leftChars="0" w:right="0" w:firstLine="420" w:firstLineChars="175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按双方正式合同签署生效后30天期限内实施完成安装、调试。由于医院场地等原因导致实施安装调试延期，采购人予以配合和理解。</w:t>
      </w:r>
    </w:p>
    <w:p w14:paraId="0DE09FD6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Autospacing="0" w:line="500" w:lineRule="exact"/>
        <w:ind w:left="0" w:right="0" w:firstLine="420" w:firstLineChars="175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1.2 交货地点: 成都市龙泉驿区妇幼保健院。</w:t>
      </w:r>
    </w:p>
    <w:p w14:paraId="3A3FFF59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Autospacing="0" w:line="500" w:lineRule="exact"/>
        <w:ind w:left="0" w:right="0" w:firstLine="0" w:firstLineChars="0"/>
        <w:jc w:val="both"/>
        <w:textAlignment w:val="auto"/>
        <w:rPr>
          <w:rFonts w:hint="eastAsia" w:ascii="宋体" w:hAnsi="宋体" w:eastAsia="宋体" w:cs="宋体"/>
          <w:bCs/>
          <w:color w:val="000000" w:themeColor="text1"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2．</w:t>
      </w:r>
      <w:r>
        <w:rPr>
          <w:rFonts w:hint="eastAsia" w:ascii="宋体" w:hAnsi="宋体" w:eastAsia="宋体" w:cs="宋体"/>
          <w:bCs/>
          <w:color w:val="000000" w:themeColor="text1"/>
          <w:kern w:val="2"/>
          <w:sz w:val="24"/>
          <w:szCs w:val="24"/>
          <w:highlight w:val="none"/>
          <w:lang w:val="en-US" w:eastAsia="zh-CN" w:bidi="ar"/>
        </w:rPr>
        <w:t>付款方法：</w:t>
      </w:r>
    </w:p>
    <w:p w14:paraId="0FFFE798">
      <w:pPr>
        <w:pStyle w:val="28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 w:val="0"/>
        <w:spacing w:beforeLines="0" w:line="500" w:lineRule="exact"/>
        <w:ind w:firstLine="420" w:firstLineChars="175"/>
        <w:textAlignment w:val="baseline"/>
        <w:rPr>
          <w:rFonts w:hint="eastAsia" w:asciiTheme="minorEastAsia" w:hAnsiTheme="minorEastAsia" w:cstheme="minorEastAsia"/>
          <w:color w:val="000000" w:themeColor="text1"/>
        </w:rPr>
      </w:pPr>
      <w:r>
        <w:rPr>
          <w:rFonts w:hint="eastAsia" w:asciiTheme="minorEastAsia" w:hAnsiTheme="minorEastAsia" w:eastAsiaTheme="minorEastAsia" w:cstheme="minorEastAsia"/>
          <w:bCs/>
        </w:rPr>
        <w:t xml:space="preserve">2.1 </w:t>
      </w:r>
      <w:r>
        <w:rPr>
          <w:rFonts w:hint="eastAsia" w:asciiTheme="minorEastAsia" w:hAnsiTheme="minorEastAsia" w:cstheme="minorEastAsia"/>
          <w:color w:val="000000" w:themeColor="text1"/>
        </w:rPr>
        <w:t>合同签订后，甲方接到乙方通知与票据凭证资料后，向乙方核拨预付款，合同总金额的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</w:rPr>
        <w:t>3</w:t>
      </w:r>
      <w:r>
        <w:rPr>
          <w:rFonts w:hint="eastAsia" w:asciiTheme="minorEastAsia" w:hAnsiTheme="minorEastAsia" w:cstheme="minorEastAsia"/>
          <w:color w:val="000000" w:themeColor="text1"/>
        </w:rPr>
        <w:t>0%款项；</w:t>
      </w:r>
    </w:p>
    <w:p w14:paraId="147E3E08">
      <w:pPr>
        <w:pStyle w:val="28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 w:val="0"/>
        <w:spacing w:beforeLines="0" w:line="500" w:lineRule="exact"/>
        <w:ind w:firstLine="420" w:firstLineChars="175"/>
        <w:textAlignment w:val="baseline"/>
        <w:rPr>
          <w:rFonts w:hint="eastAsia" w:asciiTheme="minorEastAsia" w:hAnsiTheme="minorEastAsia" w:cstheme="minorEastAsia"/>
          <w:color w:val="000000" w:themeColor="text1"/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</w:rPr>
        <w:t>2.2 提供实施方案</w:t>
      </w:r>
      <w:r>
        <w:rPr>
          <w:rFonts w:hint="eastAsia" w:asciiTheme="minorEastAsia" w:hAnsiTheme="minorEastAsia" w:cstheme="minorEastAsia"/>
          <w:color w:val="000000" w:themeColor="text1"/>
        </w:rPr>
        <w:t>并经科室确认后，甲方接到乙方通知与票据凭证资料后，向乙方核拨预付款，合同总金额的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</w:rPr>
        <w:t>2</w:t>
      </w:r>
      <w:r>
        <w:rPr>
          <w:rFonts w:hint="eastAsia" w:asciiTheme="minorEastAsia" w:hAnsiTheme="minorEastAsia" w:cstheme="minorEastAsia"/>
          <w:color w:val="000000" w:themeColor="text1"/>
        </w:rPr>
        <w:t>0%款项；</w:t>
      </w:r>
    </w:p>
    <w:p w14:paraId="535594E1">
      <w:pPr>
        <w:pStyle w:val="28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 w:val="0"/>
        <w:spacing w:beforeLines="0" w:line="500" w:lineRule="exact"/>
        <w:ind w:firstLine="420" w:firstLineChars="175"/>
        <w:textAlignment w:val="baseline"/>
        <w:rPr>
          <w:rFonts w:hint="eastAsia" w:asciiTheme="minorEastAsia" w:hAnsiTheme="minorEastAsia" w:cstheme="minorEastAsia"/>
          <w:color w:val="000000" w:themeColor="text1"/>
        </w:rPr>
      </w:pPr>
      <w:r>
        <w:rPr>
          <w:rFonts w:hint="eastAsia" w:asciiTheme="minorEastAsia" w:hAnsiTheme="minorEastAsia" w:eastAsiaTheme="minorEastAsia" w:cstheme="minorEastAsia"/>
          <w:bCs/>
        </w:rPr>
        <w:t>2.</w:t>
      </w:r>
      <w:r>
        <w:rPr>
          <w:rFonts w:hint="eastAsia" w:asciiTheme="minorEastAsia" w:hAnsiTheme="minorEastAsia" w:eastAsiaTheme="minorEastAsia" w:cstheme="minorEastAsia"/>
          <w:bCs/>
          <w:lang w:val="en-US" w:eastAsia="zh-CN"/>
        </w:rPr>
        <w:t xml:space="preserve">3 </w: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2"/>
          <w:sz w:val="24"/>
          <w:szCs w:val="22"/>
          <w:lang w:val="en-US" w:eastAsia="zh-CN" w:bidi="ar-SA"/>
        </w:rPr>
        <w:t>系统安装、测试完成后，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</w:rPr>
        <w:t>试运行满30日，</w:t>
      </w:r>
      <w:r>
        <w:rPr>
          <w:rFonts w:hint="eastAsia" w:asciiTheme="minorEastAsia" w:hAnsiTheme="minorEastAsia" w:cstheme="minorEastAsia"/>
          <w:color w:val="000000" w:themeColor="text1"/>
        </w:rPr>
        <w:t>乙方提交验收报告并经科室确认后，甲方接到乙方通知与票据凭证资料后，向乙方核拨合同总金额的40%款项；</w:t>
      </w:r>
    </w:p>
    <w:p w14:paraId="3770AD28">
      <w:pPr>
        <w:pStyle w:val="28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 w:val="0"/>
        <w:spacing w:beforeLines="0" w:line="500" w:lineRule="exact"/>
        <w:ind w:firstLine="420" w:firstLineChars="175"/>
        <w:textAlignment w:val="baseline"/>
        <w:rPr>
          <w:rFonts w:hint="eastAsia" w:asciiTheme="minorEastAsia" w:hAnsiTheme="minorEastAsia" w:cstheme="minorEastAsia"/>
          <w:color w:val="000000" w:themeColor="text1"/>
        </w:rPr>
      </w:pPr>
      <w:r>
        <w:rPr>
          <w:rFonts w:hint="eastAsia" w:asciiTheme="minorEastAsia" w:hAnsiTheme="minorEastAsia" w:eastAsiaTheme="minorEastAsia" w:cstheme="minorEastAsia"/>
          <w:bCs/>
        </w:rPr>
        <w:t>2.</w:t>
      </w:r>
      <w:r>
        <w:rPr>
          <w:rFonts w:hint="eastAsia" w:asciiTheme="minorEastAsia" w:hAnsiTheme="minorEastAsia" w:eastAsiaTheme="minorEastAsia" w:cstheme="minorEastAsia"/>
          <w:bCs/>
          <w:lang w:val="en-US" w:eastAsia="zh-CN"/>
        </w:rPr>
        <w:t xml:space="preserve">4 </w:t>
      </w: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>服务期满一年后，</w:t>
      </w:r>
      <w:r>
        <w:rPr>
          <w:rFonts w:hint="eastAsia" w:asciiTheme="minorEastAsia" w:hAnsiTheme="minorEastAsia" w:cstheme="minorEastAsia"/>
          <w:color w:val="000000" w:themeColor="text1"/>
        </w:rPr>
        <w:t>乙方提交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</w:rPr>
        <w:t>项目最终</w:t>
      </w:r>
      <w:r>
        <w:rPr>
          <w:rFonts w:hint="eastAsia" w:asciiTheme="minorEastAsia" w:hAnsiTheme="minorEastAsia" w:cstheme="minorEastAsia"/>
          <w:color w:val="000000" w:themeColor="text1"/>
        </w:rPr>
        <w:t>验收报告，经科室确认后，甲方接到乙方通知与票据凭证资料后，向乙方核拨合同总金额的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</w:rPr>
        <w:t>1</w:t>
      </w:r>
      <w:r>
        <w:rPr>
          <w:rFonts w:hint="eastAsia" w:asciiTheme="minorEastAsia" w:hAnsiTheme="minorEastAsia" w:cstheme="minorEastAsia"/>
          <w:color w:val="000000" w:themeColor="text1"/>
        </w:rPr>
        <w:t>0%款项；</w:t>
      </w:r>
    </w:p>
    <w:p w14:paraId="7FC02BDA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beforeLines="0" w:line="500" w:lineRule="exact"/>
        <w:ind w:firstLine="420" w:firstLineChars="175"/>
        <w:rPr>
          <w:rFonts w:ascii="宋体" w:hAnsi="宋体" w:eastAsia="宋体" w:cs="宋体"/>
          <w:bCs/>
          <w:sz w:val="24"/>
        </w:rPr>
      </w:pPr>
      <w:r>
        <w:rPr>
          <w:rFonts w:ascii="宋体" w:hAnsi="宋体" w:eastAsia="宋体" w:cs="宋体"/>
          <w:bCs/>
          <w:sz w:val="24"/>
        </w:rPr>
        <w:t>2.</w:t>
      </w:r>
      <w:r>
        <w:rPr>
          <w:rFonts w:hint="eastAsia" w:ascii="宋体" w:hAnsi="宋体" w:eastAsia="宋体" w:cs="宋体"/>
          <w:bCs/>
          <w:sz w:val="24"/>
          <w:lang w:val="en-US" w:eastAsia="zh-CN"/>
        </w:rPr>
        <w:t>5</w:t>
      </w:r>
      <w:r>
        <w:rPr>
          <w:rFonts w:hint="eastAsia" w:ascii="宋体" w:hAnsi="宋体" w:eastAsia="宋体" w:cs="宋体"/>
          <w:bCs/>
          <w:sz w:val="24"/>
        </w:rPr>
        <w:t xml:space="preserve"> 付款条件：每次款项的支付前提均为采购人在收到中标人出具的正规发票30日内予以办理款项的支付</w:t>
      </w:r>
      <w:r>
        <w:rPr>
          <w:rFonts w:hint="eastAsia" w:ascii="宋体" w:hAnsi="宋体" w:eastAsia="宋体" w:cs="宋体"/>
          <w:bCs/>
          <w:sz w:val="24"/>
          <w:lang w:val="en-US" w:eastAsia="zh-CN"/>
        </w:rPr>
        <w:t>流程</w:t>
      </w:r>
      <w:r>
        <w:rPr>
          <w:rFonts w:hint="eastAsia" w:ascii="宋体" w:hAnsi="宋体" w:eastAsia="宋体" w:cs="宋体"/>
          <w:bCs/>
          <w:sz w:val="24"/>
        </w:rPr>
        <w:t>。</w:t>
      </w:r>
    </w:p>
    <w:p w14:paraId="3AC9C4AD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Autospacing="0" w:line="500" w:lineRule="exact"/>
        <w:ind w:left="0" w:leftChars="0" w:right="0" w:firstLine="0" w:firstLineChars="0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-SA"/>
        </w:rPr>
        <w:t xml:space="preserve">3. </w:t>
      </w: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验收：</w:t>
      </w:r>
    </w:p>
    <w:p w14:paraId="3E2179FD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Autospacing="0" w:line="500" w:lineRule="exact"/>
        <w:ind w:left="0" w:leftChars="0" w:right="0" w:firstLine="480" w:firstLineChars="200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成交人与采购人按照财政部关于印发《财政部关于进一步加强政府采购需求和履约验收管理的指导意见》的通知要求进行验收，</w:t>
      </w:r>
      <w:r>
        <w:rPr>
          <w:rFonts w:hint="default" w:ascii="宋体" w:hAnsi="宋体" w:eastAsia="宋体" w:cs="宋体"/>
          <w:bCs/>
          <w:kern w:val="2"/>
          <w:sz w:val="24"/>
          <w:szCs w:val="24"/>
          <w:lang w:val="en-US" w:eastAsia="zh-CN" w:bidi="ar"/>
        </w:rPr>
        <w:t>采购方</w:t>
      </w: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有权邀请第三方机构或质检部门共同验收。</w:t>
      </w:r>
    </w:p>
    <w:p w14:paraId="43829887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Autospacing="0" w:line="500" w:lineRule="exact"/>
        <w:ind w:left="0" w:leftChars="0" w:right="0" w:firstLine="420" w:firstLineChars="175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3.1 验收方法：成交人在完成安装培训并投入正式使用后进行验收，并提供全部有关产品说明书、技术文件、资料，以及安装、测试、验收报告等文档汇集成册交付采购单位。</w:t>
      </w:r>
    </w:p>
    <w:p w14:paraId="7B6E547F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Autospacing="0" w:line="500" w:lineRule="exact"/>
        <w:ind w:left="0" w:leftChars="0" w:right="0" w:firstLine="420" w:firstLineChars="175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3.2 验收标准：符合国家相关规定，并按照相关技术要求进行工作，并完全满足采购人提出的工作需要；</w:t>
      </w:r>
    </w:p>
    <w:p w14:paraId="30E5DC03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Autospacing="0" w:line="500" w:lineRule="exact"/>
        <w:ind w:left="0" w:leftChars="0" w:right="0" w:firstLine="420" w:firstLineChars="175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 xml:space="preserve">3.3 验收时间要求：成交人必须响应对其所提供的全部系统进行安装、测试和联网调试，正常运行双方确认合格行验收。  </w:t>
      </w:r>
    </w:p>
    <w:p w14:paraId="5CD27103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Autospacing="0" w:line="500" w:lineRule="exact"/>
        <w:ind w:left="0" w:leftChars="0" w:right="0" w:firstLine="420" w:firstLineChars="175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3.4 其他要求：验收不合格时，采购人和成交人应协商一致，成交人应根据相关验收要求及时补足或整改，所产生费用用成交人自行承担。</w:t>
      </w:r>
    </w:p>
    <w:p w14:paraId="6175D82E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Autospacing="0" w:line="500" w:lineRule="exact"/>
        <w:ind w:left="0" w:right="0" w:firstLine="0" w:firstLineChars="0"/>
        <w:jc w:val="both"/>
        <w:textAlignment w:val="auto"/>
        <w:rPr>
          <w:rFonts w:hint="default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 xml:space="preserve">4. </w:t>
      </w:r>
      <w:r>
        <w:rPr>
          <w:rFonts w:hint="eastAsia" w:ascii="宋体" w:hAnsi="宋体" w:eastAsia="宋体" w:cs="宋体"/>
          <w:bCs/>
          <w:kern w:val="2"/>
          <w:sz w:val="24"/>
          <w:szCs w:val="24"/>
          <w:highlight w:val="none"/>
          <w:lang w:val="en-US" w:eastAsia="zh-CN" w:bidi="ar"/>
        </w:rPr>
        <w:t>项目维护要求</w:t>
      </w:r>
    </w:p>
    <w:p w14:paraId="6EEF6B0A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beforeAutospacing="0" w:after="0" w:afterAutospacing="0" w:line="460" w:lineRule="exact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 xml:space="preserve">4.1 </w:t>
      </w:r>
      <w:r>
        <w:rPr>
          <w:rFonts w:hint="eastAsia" w:ascii="宋体" w:hAnsi="宋体" w:eastAsia="宋体" w:cs="宋体"/>
          <w:bCs/>
          <w:sz w:val="24"/>
          <w:lang w:val="en-US" w:eastAsia="zh-CN"/>
        </w:rPr>
        <w:t>维护</w:t>
      </w:r>
      <w:r>
        <w:rPr>
          <w:rFonts w:hint="eastAsia" w:ascii="宋体" w:hAnsi="宋体" w:eastAsia="宋体" w:cs="宋体"/>
          <w:bCs/>
          <w:sz w:val="24"/>
        </w:rPr>
        <w:t>期：不低于</w:t>
      </w:r>
      <w:r>
        <w:rPr>
          <w:rFonts w:hint="eastAsia" w:ascii="宋体" w:hAnsi="宋体" w:eastAsia="宋体" w:cs="宋体"/>
          <w:bCs/>
          <w:sz w:val="24"/>
          <w:lang w:val="en-US" w:eastAsia="zh-CN"/>
        </w:rPr>
        <w:t>壹</w:t>
      </w:r>
      <w:r>
        <w:rPr>
          <w:rFonts w:hint="eastAsia" w:ascii="宋体" w:hAnsi="宋体" w:eastAsia="宋体" w:cs="宋体"/>
          <w:bCs/>
          <w:sz w:val="24"/>
        </w:rPr>
        <w:t>年</w:t>
      </w:r>
      <w:r>
        <w:rPr>
          <w:rFonts w:hint="eastAsia" w:ascii="宋体" w:hAnsi="宋体" w:eastAsia="宋体" w:cs="宋体"/>
          <w:b w:val="0"/>
          <w:bCs/>
          <w:kern w:val="2"/>
          <w:sz w:val="24"/>
          <w:szCs w:val="24"/>
          <w:lang w:val="en-US" w:eastAsia="zh-CN" w:bidi="ar"/>
        </w:rPr>
        <w:t>（自正式运行之日起算）</w:t>
      </w:r>
      <w:r>
        <w:rPr>
          <w:rFonts w:hint="eastAsia" w:ascii="宋体" w:hAnsi="宋体" w:eastAsia="宋体" w:cs="宋体"/>
          <w:bCs/>
          <w:sz w:val="24"/>
          <w:szCs w:val="24"/>
          <w:lang w:bidi="ar"/>
        </w:rPr>
        <w:t>。</w:t>
      </w:r>
      <w:r>
        <w:rPr>
          <w:rFonts w:hint="eastAsia" w:ascii="宋体" w:hAnsi="宋体" w:eastAsia="宋体" w:cs="宋体"/>
          <w:b w:val="0"/>
          <w:bCs/>
          <w:kern w:val="2"/>
          <w:sz w:val="24"/>
          <w:szCs w:val="24"/>
          <w:lang w:val="en-US" w:eastAsia="zh-CN" w:bidi="ar"/>
        </w:rPr>
        <w:t>在维护期内供应商须提供版本的维护、更新和升级服务，对软件各模块提供单独的维护服务和技术支持，相关费用包含在投标报价中。如维护期内遇政策性变化需要修改系统，供应商须负责修改系统，相关费用包含在投标报价中；</w:t>
      </w:r>
    </w:p>
    <w:p w14:paraId="1E9BEAAB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Autospacing="0" w:line="500" w:lineRule="exact"/>
        <w:ind w:left="0" w:right="0" w:firstLine="420" w:firstLineChars="175"/>
        <w:jc w:val="both"/>
        <w:textAlignment w:val="auto"/>
        <w:rPr>
          <w:rFonts w:hint="eastAsia" w:ascii="宋体" w:hAnsi="宋体" w:eastAsia="宋体" w:cs="宋体"/>
          <w:b w:val="0"/>
          <w:bCs/>
          <w:kern w:val="2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 xml:space="preserve">4.2 </w:t>
      </w:r>
      <w:r>
        <w:rPr>
          <w:rFonts w:hint="eastAsia" w:ascii="宋体" w:hAnsi="宋体" w:eastAsia="宋体" w:cs="宋体"/>
          <w:b w:val="0"/>
          <w:bCs/>
          <w:kern w:val="2"/>
          <w:sz w:val="24"/>
          <w:szCs w:val="24"/>
          <w:lang w:val="en-US" w:eastAsia="zh-CN" w:bidi="ar"/>
        </w:rPr>
        <w:t>供应商提供的维护服务和技术支持系保证软件正常运行的维护工作，其中包括软件在运行中的故障带来的排错工作、系统软件适配带来的调整工作等：</w:t>
      </w:r>
    </w:p>
    <w:p w14:paraId="38344C77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beforeAutospacing="0" w:after="0" w:afterAutospacing="0" w:line="460" w:lineRule="exact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bCs/>
          <w:sz w:val="24"/>
          <w:szCs w:val="24"/>
          <w:lang w:val="en-US" w:bidi="ar"/>
        </w:rPr>
      </w:pPr>
      <w:r>
        <w:rPr>
          <w:rFonts w:hint="eastAsia" w:ascii="宋体" w:hAnsi="宋体" w:eastAsia="宋体" w:cs="宋体"/>
          <w:b w:val="0"/>
          <w:bCs/>
          <w:kern w:val="2"/>
          <w:sz w:val="24"/>
          <w:szCs w:val="24"/>
          <w:lang w:val="en-US" w:eastAsia="zh-CN" w:bidi="ar"/>
        </w:rPr>
        <w:t>4.2.1</w:t>
      </w: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维护期内，供应商应对本项目所采购的软件产品的运行、更新、维护提供7×24小时用户服务；</w:t>
      </w:r>
    </w:p>
    <w:p w14:paraId="03B8FEE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-2147483648" w:line="460" w:lineRule="exact"/>
        <w:ind w:left="0" w:firstLine="480" w:firstLineChars="200"/>
        <w:jc w:val="left"/>
        <w:textAlignment w:val="auto"/>
        <w:rPr>
          <w:rFonts w:hint="eastAsia" w:ascii="宋体" w:hAnsi="宋体" w:eastAsia="宋体" w:cs="宋体"/>
          <w:bCs/>
          <w:sz w:val="24"/>
          <w:szCs w:val="24"/>
          <w:lang w:val="en-US" w:bidi="ar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bidi="ar"/>
        </w:rPr>
        <w:t>4.2.2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维护期内，系统如有任何不正常或故障发生，供应商应查明原因并负责修复直至达到本项目采购合同规定要求</w:t>
      </w:r>
      <w:r>
        <w:rPr>
          <w:rFonts w:hint="eastAsia" w:ascii="宋体" w:hAnsi="宋体" w:eastAsia="宋体" w:cs="宋体"/>
          <w:bCs/>
          <w:sz w:val="24"/>
          <w:szCs w:val="24"/>
          <w:lang w:eastAsia="zh-CN" w:bidi="ar"/>
        </w:rPr>
        <w:t>；</w:t>
      </w:r>
    </w:p>
    <w:p w14:paraId="38D7FE3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bidi="ar"/>
        </w:rPr>
        <w:t>4.2.3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维护期内的维护服务和技术支持响应时间不得低于以下标准：</w:t>
      </w:r>
    </w:p>
    <w:p w14:paraId="3ED2F4A5">
      <w:pPr>
        <w:numPr>
          <w:ilvl w:val="0"/>
          <w:numId w:val="0"/>
        </w:numPr>
        <w:spacing w:beforeLines="-2147483648" w:after="0" w:line="460" w:lineRule="exact"/>
        <w:ind w:left="0" w:leftChars="0" w:firstLine="480" w:firstLineChars="200"/>
        <w:jc w:val="left"/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系统故障类：提供7×24小时电话、微信或电子邮件服务；供应商接到采购人通过电话、微信、QQ等方式提出的报修请求后，10分钟内做出响应和安排，2小时内做出故障诊断报告并给予处理；如需现场服务的，工程师应在8小时内到达故障现场，24小时内解决软件故障。</w:t>
      </w:r>
    </w:p>
    <w:p w14:paraId="4BA762FA">
      <w:pPr>
        <w:keepNext w:val="0"/>
        <w:keepLines w:val="0"/>
        <w:pageBreakBefore w:val="0"/>
        <w:widowControl w:val="0"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beforeAutospacing="0" w:after="0" w:afterAutospacing="0" w:line="460" w:lineRule="exact"/>
        <w:ind w:left="0" w:right="0" w:firstLine="0" w:firstLineChars="0"/>
        <w:jc w:val="left"/>
        <w:textAlignment w:val="auto"/>
        <w:rPr>
          <w:rFonts w:hint="eastAsia" w:ascii="宋体" w:hAnsi="宋体" w:eastAsia="宋体" w:cs="宋体"/>
          <w:bCs/>
          <w:kern w:val="2"/>
          <w:sz w:val="24"/>
          <w:szCs w:val="24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highlight w:val="none"/>
          <w:lang w:val="en-US" w:eastAsia="zh-CN" w:bidi="ar"/>
        </w:rPr>
        <w:t>其他要求：</w:t>
      </w:r>
    </w:p>
    <w:p w14:paraId="05ADCD6A">
      <w:pPr>
        <w:numPr>
          <w:ilvl w:val="0"/>
          <w:numId w:val="0"/>
        </w:numPr>
        <w:spacing w:beforeLines="-2147483648" w:after="0" w:line="460" w:lineRule="exact"/>
        <w:ind w:left="0" w:leftChars="0" w:firstLine="480" w:firstLineChars="200"/>
        <w:jc w:val="left"/>
        <w:rPr>
          <w:rFonts w:hint="eastAsia" w:ascii="宋体" w:hAnsi="宋体" w:eastAsia="宋体" w:cs="宋体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试运行要求：系统安装、测试完成后，经采购人确认，进行试运行期，试运行期为30日；试运行期若出现系统故障或因系统故障造成的排错工作、系统软件适配带来的调整工作等均由供应商负责处理；试运行期满后若无明显故障问题，则供应商可提出正式运行申请，由采购人进行确认。若试运行期满后仍有明显故障问题，则由供应商负责整改，整改完成后重新计算试运行期，由此产生的费用由供应商承担。</w:t>
      </w:r>
    </w:p>
    <w:p w14:paraId="7E7E8D14"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line="500" w:lineRule="exact"/>
        <w:ind w:firstLine="0" w:firstLineChars="0"/>
        <w:textAlignment w:val="auto"/>
        <w:rPr>
          <w:rFonts w:hint="eastAsia" w:asciiTheme="minorEastAsia" w:hAnsiTheme="minorEastAsia" w:eastAsiaTheme="minorEastAsia" w:cstheme="minorEastAsia"/>
          <w:b/>
          <w:bCs w:val="0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z w:val="24"/>
          <w:szCs w:val="24"/>
          <w:highlight w:val="none"/>
          <w:lang w:val="en-US" w:eastAsia="zh-CN"/>
        </w:rPr>
        <w:t>三、</w:t>
      </w:r>
      <w:r>
        <w:rPr>
          <w:rFonts w:hint="eastAsia" w:asciiTheme="minorEastAsia" w:hAnsiTheme="minorEastAsia" w:cstheme="minorEastAsia"/>
          <w:b/>
          <w:bCs w:val="0"/>
          <w:sz w:val="24"/>
          <w:szCs w:val="24"/>
          <w:highlight w:val="none"/>
          <w:lang w:val="en-US" w:eastAsia="zh-CN"/>
        </w:rPr>
        <w:t>项目要求</w:t>
      </w:r>
      <w:r>
        <w:rPr>
          <w:rFonts w:hint="eastAsia" w:asciiTheme="minorEastAsia" w:hAnsiTheme="minorEastAsia" w:eastAsiaTheme="minorEastAsia" w:cstheme="minorEastAsia"/>
          <w:b/>
          <w:bCs w:val="0"/>
          <w:sz w:val="24"/>
          <w:szCs w:val="24"/>
          <w:highlight w:val="none"/>
        </w:rPr>
        <w:t>：</w:t>
      </w:r>
    </w:p>
    <w:p w14:paraId="07D4353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firstLine="0" w:firstLineChars="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b/>
          <w:bCs/>
          <w:kern w:val="2"/>
          <w:sz w:val="24"/>
          <w:szCs w:val="24"/>
          <w:lang w:val="en-US" w:eastAsia="zh-CN" w:bidi="ar-SA"/>
        </w:rPr>
        <w:t>1、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本地大模型服务</w:t>
      </w:r>
    </w:p>
    <w:p w14:paraId="4D6871F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426" w:leftChars="202" w:hanging="2" w:hangingChars="1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b/>
          <w:bCs/>
          <w:kern w:val="2"/>
          <w:sz w:val="24"/>
          <w:szCs w:val="24"/>
          <w:lang w:val="en-US" w:eastAsia="zh-CN" w:bidi="ar-SA"/>
        </w:rPr>
        <w:t>1.1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lang w:val="en-US" w:eastAsia="zh-CN"/>
        </w:rPr>
        <w:t>★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大模型基础设施服务</w:t>
      </w:r>
    </w:p>
    <w:p w14:paraId="68AF630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firstLine="720" w:firstLineChars="3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  <w:t>1.1.1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提供满足同时部署至少2个规模不小于32B的大模型的硬件设备和软件环境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；</w:t>
      </w:r>
    </w:p>
    <w:p w14:paraId="799866B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firstLine="720" w:firstLineChars="3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  <w:t>1.1.2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硬件性能要求：并发性能≥100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；</w:t>
      </w:r>
    </w:p>
    <w:p w14:paraId="79426C3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firstLine="720" w:firstLineChars="3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  <w:t>1.1.3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支持的模型包括但不限于：deepseek R1 32B、Qwen-32B、QwQ32B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；</w:t>
      </w:r>
    </w:p>
    <w:p w14:paraId="67FDB31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firstLine="720" w:firstLineChars="3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  <w:t>1.1.4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部署环境：在采购人指定的机房环境中进行部署。</w:t>
      </w:r>
    </w:p>
    <w:p w14:paraId="5011957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426" w:leftChars="202" w:hanging="2" w:hangingChars="1"/>
        <w:textAlignment w:val="auto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cstheme="minorEastAsia"/>
          <w:b/>
          <w:bCs/>
          <w:kern w:val="2"/>
          <w:sz w:val="24"/>
          <w:szCs w:val="24"/>
          <w:lang w:val="en-US" w:eastAsia="zh-CN" w:bidi="ar-SA"/>
        </w:rPr>
        <w:t>1.2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模型部署与运维服务</w:t>
      </w:r>
    </w:p>
    <w:p w14:paraId="4ED2E94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firstLine="720" w:firstLineChars="3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  <w:t>1.2.1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根据业务需求灵活调整本地部署的大模型配置，确保大模型的稳定运行和持续维护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。</w:t>
      </w:r>
    </w:p>
    <w:p w14:paraId="4DA1680A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426" w:leftChars="202" w:hanging="2" w:hangingChars="1"/>
        <w:textAlignment w:val="auto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cstheme="minorEastAsia"/>
          <w:b/>
          <w:bCs/>
          <w:kern w:val="2"/>
          <w:sz w:val="24"/>
          <w:szCs w:val="24"/>
          <w:lang w:val="en-US" w:eastAsia="zh-CN" w:bidi="ar-SA"/>
        </w:rPr>
        <w:t>1.3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本地知识库及更新维护服务</w:t>
      </w:r>
    </w:p>
    <w:p w14:paraId="4005DA9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firstLine="720" w:firstLineChars="3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  <w:t>1.3.1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整合医院本地医疗知识库，确保信息与医院实际情况高度契合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；</w:t>
      </w:r>
    </w:p>
    <w:p w14:paraId="2716F71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firstLine="720" w:firstLineChars="3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  <w:t>1.3.2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持续更新知识库，包括但不限于最新的本院科室设置、医生简历与擅长领域信息、政策文件等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提升助手精准度和实用性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；</w:t>
      </w:r>
    </w:p>
    <w:p w14:paraId="24447DE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firstLine="720" w:firstLineChars="3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  <w:t>1.3.3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对知识库进行日常维护，包括但不限于定期检查、错误修复，以及权限管理和版本控制。</w:t>
      </w:r>
    </w:p>
    <w:p w14:paraId="5B8AD4A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firstLine="0" w:firstLineChars="0"/>
        <w:textAlignment w:val="auto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cstheme="minorEastAsia"/>
          <w:b/>
          <w:kern w:val="2"/>
          <w:sz w:val="24"/>
          <w:szCs w:val="24"/>
          <w:lang w:val="en-US" w:eastAsia="zh-CN" w:bidi="ar-SA"/>
        </w:rPr>
        <w:t>2、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  <w:lang w:val="en-US" w:eastAsia="zh-CN"/>
        </w:rPr>
        <w:t>智能助手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需求</w:t>
      </w:r>
    </w:p>
    <w:p w14:paraId="287C925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426" w:leftChars="202" w:hanging="2" w:hangingChars="1"/>
        <w:textAlignment w:val="auto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cstheme="minorEastAsia"/>
          <w:b/>
          <w:bCs/>
          <w:kern w:val="2"/>
          <w:sz w:val="24"/>
          <w:szCs w:val="24"/>
          <w:lang w:val="en-US" w:eastAsia="zh-CN" w:bidi="ar-SA"/>
        </w:rPr>
        <w:t>2.1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  <w:lang w:val="en-US" w:eastAsia="zh-CN"/>
        </w:rPr>
        <w:t>对话模式选择功能服务</w:t>
      </w:r>
    </w:p>
    <w:p w14:paraId="5E22CBB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firstLine="720" w:firstLineChars="300"/>
        <w:jc w:val="both"/>
        <w:textAlignment w:val="auto"/>
        <w:rPr>
          <w:rFonts w:hint="eastAsia" w:asciiTheme="minorEastAsia" w:hAnsiTheme="minorEastAsia" w:eastAsiaTheme="minorEastAsia" w:cstheme="minorEastAsia"/>
          <w:kern w:val="2"/>
          <w:sz w:val="24"/>
          <w:szCs w:val="24"/>
          <w:lang w:bidi="ar-SA"/>
        </w:rPr>
      </w:pPr>
      <w: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  <w:t>2.1.1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▲</w:t>
      </w: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  <w:lang w:bidi="ar-SA"/>
        </w:rPr>
        <w:t>支持多种模式选择，根据用户需求，在对话窗口中可选择智能导诊、健康咨询、妇幼阳光政策解读、“两癌”须知等特定场景模式，无需跳转至新界面即可实现不同对话目</w:t>
      </w:r>
      <w:r>
        <w:rPr>
          <w:rFonts w:hint="eastAsia" w:asciiTheme="minorEastAsia" w:hAnsiTheme="minorEastAsia" w:cstheme="minorEastAsia"/>
          <w:kern w:val="2"/>
          <w:sz w:val="24"/>
          <w:szCs w:val="24"/>
          <w:lang w:eastAsia="zh-CN" w:bidi="ar-SA"/>
        </w:rPr>
        <w:t>；</w:t>
      </w:r>
    </w:p>
    <w:p w14:paraId="1ABF75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firstLine="720" w:firstLineChars="300"/>
        <w:jc w:val="both"/>
        <w:textAlignment w:val="auto"/>
        <w:rPr>
          <w:rFonts w:hint="eastAsia" w:asciiTheme="minorEastAsia" w:hAnsiTheme="minorEastAsia" w:eastAsiaTheme="minorEastAsia" w:cstheme="minorEastAsia"/>
          <w:kern w:val="2"/>
          <w:sz w:val="24"/>
          <w:szCs w:val="24"/>
          <w:lang w:eastAsia="zh-CN" w:bidi="ar-SA"/>
        </w:rPr>
      </w:pPr>
      <w: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  <w:t>2.1.2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▲</w:t>
      </w: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  <w:lang w:bidi="ar-SA"/>
        </w:rPr>
        <w:t>在不同模式下，将具备不同的对话逻辑和所依赖的知识库</w:t>
      </w:r>
      <w:r>
        <w:rPr>
          <w:rFonts w:hint="eastAsia" w:asciiTheme="minorEastAsia" w:hAnsiTheme="minorEastAsia" w:cstheme="minorEastAsia"/>
          <w:kern w:val="2"/>
          <w:sz w:val="24"/>
          <w:szCs w:val="24"/>
          <w:lang w:eastAsia="zh-CN" w:bidi="ar-SA"/>
        </w:rPr>
        <w:t>；</w:t>
      </w:r>
    </w:p>
    <w:p w14:paraId="58230B8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firstLine="720" w:firstLineChars="300"/>
        <w:jc w:val="both"/>
        <w:textAlignment w:val="auto"/>
        <w:rPr>
          <w:rFonts w:hint="eastAsia" w:asciiTheme="minorEastAsia" w:hAnsiTheme="minorEastAsia" w:eastAsiaTheme="minorEastAsia" w:cstheme="minorEastAsia"/>
          <w:kern w:val="2"/>
          <w:sz w:val="24"/>
          <w:szCs w:val="24"/>
          <w:lang w:val="en-US" w:bidi="ar-SA"/>
        </w:rPr>
      </w:pPr>
      <w: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  <w:t>2.1.1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▲智能助手返回的结果中，需关联到所依赖的知识库以及其知识的来源。</w:t>
      </w:r>
    </w:p>
    <w:p w14:paraId="17BEBB8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426" w:leftChars="202" w:hanging="2" w:hangingChars="1"/>
        <w:textAlignment w:val="auto"/>
        <w:rPr>
          <w:rFonts w:hint="eastAsia" w:asciiTheme="minorEastAsia" w:hAnsiTheme="minorEastAsia" w:eastAsiaTheme="minorEastAsia" w:cstheme="minorEastAsia"/>
          <w:b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/>
          <w:kern w:val="2"/>
          <w:sz w:val="24"/>
          <w:szCs w:val="24"/>
          <w:lang w:val="en-US" w:eastAsia="zh-CN" w:bidi="ar-SA"/>
        </w:rPr>
        <w:t>2.2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  <w:lang w:val="en-US" w:eastAsia="zh-CN"/>
        </w:rPr>
        <w:t>智能导诊功能服务</w:t>
      </w:r>
    </w:p>
    <w:p w14:paraId="36E53FF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firstLine="720" w:firstLineChars="300"/>
        <w:textAlignment w:val="auto"/>
        <w:rPr>
          <w:rFonts w:hint="eastAsia" w:asciiTheme="minorEastAsia" w:hAnsiTheme="minorEastAsia" w:eastAsiaTheme="minorEastAsia" w:cstheme="minorEastAsia"/>
          <w:kern w:val="2"/>
          <w:sz w:val="24"/>
          <w:szCs w:val="24"/>
          <w:lang w:bidi="ar-SA"/>
        </w:rPr>
      </w:pPr>
      <w: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  <w:t>2.2.1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▲</w:t>
      </w: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  <w:lang w:bidi="ar-SA"/>
        </w:rPr>
        <w:t>科室精确推荐：通过与用户进行多轮对话，</w:t>
      </w: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  <w:lang w:val="en-US" w:eastAsia="zh-CN" w:bidi="ar-SA"/>
        </w:rPr>
        <w:t>了解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采集患者主要症状、病程持续时间、等关键信息</w:t>
      </w: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  <w:lang w:bidi="ar-SA"/>
        </w:rPr>
        <w:t>，并结合本院各科室的专业特点</w:t>
      </w: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  <w:lang w:eastAsia="zh-CN" w:bidi="ar-SA"/>
        </w:rPr>
        <w:t>，</w:t>
      </w: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  <w:lang w:val="en-US" w:eastAsia="zh-CN" w:bidi="ar-SA"/>
        </w:rPr>
        <w:t>进行精准推荐</w:t>
      </w:r>
      <w: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  <w:t>；</w:t>
      </w:r>
    </w:p>
    <w:p w14:paraId="1AF8A7C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firstLine="720" w:firstLineChars="3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  <w:t>2.2.2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▲</w:t>
      </w: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  <w:lang w:bidi="ar-SA"/>
        </w:rPr>
        <w:t>医生精确推介：通过与用户的多轮对话，预测用户可能的需求，结合本院医生的专业擅长领域标签，进行精准</w:t>
      </w: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  <w:lang w:val="en-US" w:eastAsia="zh-CN" w:bidi="ar-SA"/>
        </w:rPr>
        <w:t>推荐</w:t>
      </w: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  <w:lang w:bidi="ar-SA"/>
        </w:rPr>
        <w:t>。</w:t>
      </w:r>
    </w:p>
    <w:p w14:paraId="3549AA5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426" w:leftChars="202" w:hanging="2" w:hangingChars="1"/>
        <w:textAlignment w:val="auto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default" w:asciiTheme="minorEastAsia" w:hAnsiTheme="minorEastAsia" w:cstheme="minorEastAsia"/>
          <w:b/>
          <w:kern w:val="2"/>
          <w:sz w:val="24"/>
          <w:szCs w:val="24"/>
          <w:lang w:val="en-US" w:eastAsia="zh-CN" w:bidi="ar-SA"/>
        </w:rPr>
        <w:t>2.3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推介逻辑优化服务</w:t>
      </w:r>
    </w:p>
    <w:p w14:paraId="31E019B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firstLine="720" w:firstLineChars="3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  <w:t>2.3.1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根据医院独特的科室设置、专家资源、诊疗流程等实际情况，定制化适配医院自身的推介逻辑。如优先推荐本院知名专家、根据病情紧急程度推荐不同的就诊渠道，助力医院优化患者导诊流程，提高医疗资源的合理利用。</w:t>
      </w:r>
    </w:p>
    <w:p w14:paraId="1996E5F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426" w:leftChars="202" w:hanging="2" w:hangingChars="1"/>
        <w:textAlignment w:val="auto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default" w:asciiTheme="minorEastAsia" w:hAnsiTheme="minorEastAsia" w:cstheme="minorEastAsia"/>
          <w:b/>
          <w:kern w:val="2"/>
          <w:sz w:val="24"/>
          <w:szCs w:val="24"/>
          <w:lang w:val="en-US" w:eastAsia="zh-CN" w:bidi="ar-SA"/>
        </w:rPr>
        <w:t>2.</w:t>
      </w:r>
      <w:r>
        <w:rPr>
          <w:rFonts w:hint="eastAsia" w:asciiTheme="minorEastAsia" w:hAnsiTheme="minorEastAsia" w:cstheme="minorEastAsia"/>
          <w:b/>
          <w:kern w:val="2"/>
          <w:sz w:val="24"/>
          <w:szCs w:val="24"/>
          <w:lang w:val="en-US" w:eastAsia="zh-CN" w:bidi="ar-SA"/>
        </w:rPr>
        <w:t>4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多场景系统集成服务</w:t>
      </w:r>
    </w:p>
    <w:p w14:paraId="6471F47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firstLine="720" w:firstLineChars="3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  <w:t>2.4.1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lang w:val="en-US" w:eastAsia="zh-CN"/>
        </w:rPr>
        <w:t>★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与医院现有微信公众号等窗口程序无缝对接，完成系统集成。</w:t>
      </w:r>
    </w:p>
    <w:p w14:paraId="261182B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firstLine="0" w:firstLineChars="0"/>
        <w:textAlignment w:val="auto"/>
        <w:rPr>
          <w:rFonts w:hint="eastAsia" w:asciiTheme="minorEastAsia" w:hAnsiTheme="minorEastAsia" w:eastAsiaTheme="minorEastAsia" w:cstheme="minorEastAsia"/>
          <w:b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/>
          <w:kern w:val="2"/>
          <w:sz w:val="24"/>
          <w:szCs w:val="24"/>
          <w:lang w:val="en-US" w:eastAsia="zh-CN" w:bidi="ar-SA"/>
        </w:rPr>
        <w:t>3、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  <w:lang w:val="en-US" w:eastAsia="zh-CN"/>
        </w:rPr>
        <w:t>“两癌”筛查分析辅助决策需求</w:t>
      </w:r>
    </w:p>
    <w:p w14:paraId="0C4EC00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426" w:leftChars="202" w:hanging="2" w:hangingChars="1"/>
        <w:textAlignment w:val="auto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cstheme="minorEastAsia"/>
          <w:b/>
          <w:kern w:val="2"/>
          <w:sz w:val="24"/>
          <w:szCs w:val="24"/>
          <w:lang w:val="en-US" w:eastAsia="zh-CN" w:bidi="ar-SA"/>
        </w:rPr>
        <w:t>3.1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全区人口分布数据接入服务</w:t>
      </w:r>
    </w:p>
    <w:p w14:paraId="2E41AD4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firstLine="720" w:firstLineChars="3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  <w:t>3.1.1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lang w:val="en-US" w:eastAsia="zh-CN"/>
        </w:rPr>
        <w:t>★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接入全区人口分布数据，包括总人口数、35岁以上女性人口数量及比例等信息。</w:t>
      </w:r>
    </w:p>
    <w:p w14:paraId="6464335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426" w:leftChars="202" w:hanging="2" w:hangingChars="1"/>
        <w:textAlignment w:val="auto"/>
        <w:rPr>
          <w:rFonts w:hint="eastAsia" w:asciiTheme="minorEastAsia" w:hAnsiTheme="minorEastAsia" w:eastAsiaTheme="minorEastAsia" w:cstheme="minorEastAsia"/>
          <w:b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/>
          <w:kern w:val="2"/>
          <w:sz w:val="24"/>
          <w:szCs w:val="24"/>
          <w:lang w:val="en-US" w:eastAsia="zh-CN" w:bidi="ar-SA"/>
        </w:rPr>
        <w:t>3.2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  <w:lang w:val="en-US" w:eastAsia="zh-CN"/>
        </w:rPr>
        <w:t>本院筛查人口数据接入服务</w:t>
      </w:r>
    </w:p>
    <w:p w14:paraId="6F77C9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firstLine="720" w:firstLineChars="3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  <w:t>3.2.1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lang w:val="en-US" w:eastAsia="zh-CN"/>
        </w:rPr>
        <w:t>★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与医院信息系统对接，接入历年两癌筛查人口数据，包括年龄、性别、居住社区、筛查结果等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；</w:t>
      </w:r>
    </w:p>
    <w:p w14:paraId="265E598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firstLine="720" w:firstLineChars="3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  <w:t>3.2.2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lang w:val="en-US" w:eastAsia="zh-CN"/>
        </w:rPr>
        <w:t>★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对数据进行清洗和整理，确保数据准确性和完整性。</w:t>
      </w:r>
    </w:p>
    <w:p w14:paraId="2C699EF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firstLine="422" w:firstLineChars="175"/>
        <w:textAlignment w:val="auto"/>
        <w:rPr>
          <w:rFonts w:hint="eastAsia" w:asciiTheme="minorEastAsia" w:hAnsiTheme="minorEastAsia" w:eastAsiaTheme="minorEastAsia" w:cstheme="minorEastAsia"/>
          <w:b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/>
          <w:kern w:val="2"/>
          <w:sz w:val="24"/>
          <w:szCs w:val="24"/>
          <w:lang w:val="en-US" w:eastAsia="zh-CN" w:bidi="ar-SA"/>
        </w:rPr>
        <w:t>3.3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  <w:lang w:val="en-US" w:eastAsia="zh-CN"/>
        </w:rPr>
        <w:t>数据交叉分析服务</w:t>
      </w:r>
    </w:p>
    <w:p w14:paraId="46B617F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firstLine="720" w:firstLineChars="3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  <w:t>3.3.1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将全区人口分布数据与本院筛查人口数据进行交叉分析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；</w:t>
      </w:r>
    </w:p>
    <w:p w14:paraId="7065C11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firstLine="720" w:firstLineChars="3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  <w:t>3.3.2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lang w:val="en-US" w:eastAsia="zh-CN"/>
        </w:rPr>
        <w:t>★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计算各社区35岁以上女性人口中接受两癌筛查的比例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；</w:t>
      </w:r>
    </w:p>
    <w:p w14:paraId="64EE7D2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firstLine="720" w:firstLineChars="3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3.3.3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分析不同社区筛查覆盖率差异，找出筛查覆盖率较低的社区。</w:t>
      </w:r>
    </w:p>
    <w:p w14:paraId="5CBD316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426" w:leftChars="202" w:hanging="2" w:hangingChars="1"/>
        <w:textAlignment w:val="auto"/>
        <w:rPr>
          <w:rFonts w:hint="eastAsia" w:asciiTheme="minorEastAsia" w:hAnsiTheme="minorEastAsia" w:eastAsiaTheme="minorEastAsia" w:cstheme="minorEastAsia"/>
          <w:b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/>
          <w:kern w:val="2"/>
          <w:sz w:val="24"/>
          <w:szCs w:val="24"/>
          <w:lang w:val="en-US" w:eastAsia="zh-CN" w:bidi="ar-SA"/>
        </w:rPr>
        <w:t>3.4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  <w:lang w:val="en-US" w:eastAsia="zh-CN"/>
        </w:rPr>
        <w:t>数据交叉分析展示</w:t>
      </w:r>
    </w:p>
    <w:p w14:paraId="26DB49A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firstLine="720" w:firstLineChars="3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  <w:t>3.4.1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▲基于GIS技术构建地图看板，直观展示各社区位置、35岁以上女性人口数量、筛查覆盖率等信息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；</w:t>
      </w:r>
    </w:p>
    <w:p w14:paraId="0B8BF48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firstLine="720" w:firstLineChars="3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  <w:t>3.4.2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▲在地图上使用颜色深浅表示筛查覆盖率高低，按照街镇、社区、不同维度的覆盖情况进行展示。</w:t>
      </w:r>
    </w:p>
    <w:p w14:paraId="31FEE7C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firstLine="0" w:firstLineChars="0"/>
        <w:textAlignment w:val="auto"/>
        <w:rPr>
          <w:rFonts w:hint="eastAsia" w:asciiTheme="minorEastAsia" w:hAnsiTheme="minorEastAsia" w:eastAsiaTheme="minorEastAsia" w:cstheme="minorEastAsia"/>
          <w:b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/>
          <w:kern w:val="2"/>
          <w:sz w:val="24"/>
          <w:szCs w:val="24"/>
          <w:lang w:val="en-US" w:eastAsia="zh-CN" w:bidi="ar-SA"/>
        </w:rPr>
        <w:t>4、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  <w:lang w:val="en-US" w:eastAsia="zh-CN"/>
        </w:rPr>
        <w:t>用户数据深度分析需求</w:t>
      </w:r>
    </w:p>
    <w:p w14:paraId="031887E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426" w:leftChars="202" w:hanging="2" w:hangingChars="1"/>
        <w:textAlignment w:val="auto"/>
        <w:rPr>
          <w:rFonts w:hint="eastAsia" w:asciiTheme="minorEastAsia" w:hAnsiTheme="minorEastAsia" w:eastAsiaTheme="minorEastAsia" w:cstheme="minorEastAsia"/>
          <w:b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/>
          <w:kern w:val="2"/>
          <w:sz w:val="24"/>
          <w:szCs w:val="24"/>
          <w:lang w:val="en-US" w:eastAsia="zh-CN" w:bidi="ar-SA"/>
        </w:rPr>
        <w:t>4.1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  <w:lang w:val="en-US" w:eastAsia="zh-CN"/>
        </w:rPr>
        <w:t>用户病例数据接入服务</w:t>
      </w:r>
    </w:p>
    <w:p w14:paraId="239D13E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firstLine="720" w:firstLineChars="3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  <w:t>4.1.1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lang w:val="en-US" w:eastAsia="zh-CN"/>
        </w:rPr>
        <w:t>★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通过与医院信息系统对接，获取用户病例数据、历史就诊记录等详细信息。</w:t>
      </w:r>
    </w:p>
    <w:p w14:paraId="2477AA7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426" w:leftChars="202" w:hanging="2" w:hangingChars="1"/>
        <w:textAlignment w:val="auto"/>
        <w:rPr>
          <w:rFonts w:hint="eastAsia" w:asciiTheme="minorEastAsia" w:hAnsiTheme="minorEastAsia" w:eastAsiaTheme="minorEastAsia" w:cstheme="minorEastAsia"/>
          <w:b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/>
          <w:kern w:val="2"/>
          <w:sz w:val="24"/>
          <w:szCs w:val="24"/>
          <w:lang w:val="en-US" w:eastAsia="zh-CN" w:bidi="ar-SA"/>
        </w:rPr>
        <w:t>4.2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  <w:lang w:val="en-US" w:eastAsia="zh-CN"/>
        </w:rPr>
        <w:t>用户健康分析服务</w:t>
      </w:r>
    </w:p>
    <w:p w14:paraId="7B84028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firstLine="720" w:firstLineChars="3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  <w:t>4.2.1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分析用户挂号情况：利用DeepSeek大语言模型分析历史挂号数据，预测可能的挂号科室和医生。</w:t>
      </w:r>
    </w:p>
    <w:p w14:paraId="3AE3E35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firstLine="720" w:firstLineChars="3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  <w:t>4.2.2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评估用户身体状况：结合病例数据和历史就诊记录，分析健康状况，识别潜在健康风险。</w:t>
      </w:r>
    </w:p>
    <w:p w14:paraId="4DFCA8B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426" w:leftChars="202" w:hanging="2" w:hangingChars="1"/>
        <w:textAlignment w:val="auto"/>
        <w:rPr>
          <w:rFonts w:hint="eastAsia" w:asciiTheme="minorEastAsia" w:hAnsiTheme="minorEastAsia" w:eastAsiaTheme="minorEastAsia" w:cstheme="minorEastAsia"/>
          <w:b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/>
          <w:kern w:val="2"/>
          <w:sz w:val="24"/>
          <w:szCs w:val="24"/>
          <w:lang w:val="en-US" w:eastAsia="zh-CN" w:bidi="ar-SA"/>
        </w:rPr>
        <w:t>4.3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  <w:lang w:val="en-US" w:eastAsia="zh-CN"/>
        </w:rPr>
        <w:t>就诊报告总结服务</w:t>
      </w:r>
    </w:p>
    <w:p w14:paraId="2D16798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firstLine="720" w:firstLineChars="3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  <w:t>4.3.1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▲利用大模型对患者最近一次的诊疗情况进行梳理，并生成一份详尽的诊疗总结报告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；</w:t>
      </w:r>
    </w:p>
    <w:p w14:paraId="2550FEC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firstLine="720" w:firstLineChars="3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  <w:t>4.3.2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▲报告内容应至少涵盖基础信息、诊疗流程回顾以及费用明细。</w:t>
      </w:r>
    </w:p>
    <w:p w14:paraId="7199B2C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firstLine="0" w:firstLineChars="0"/>
        <w:textAlignment w:val="auto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cstheme="minorEastAsia"/>
          <w:b/>
          <w:kern w:val="2"/>
          <w:sz w:val="24"/>
          <w:szCs w:val="24"/>
          <w:lang w:val="en-US" w:eastAsia="zh-CN" w:bidi="ar-SA"/>
        </w:rPr>
        <w:t>5、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智能提醒服务需求</w:t>
      </w:r>
    </w:p>
    <w:p w14:paraId="559CB40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firstLine="720" w:firstLineChars="3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  <w:t>5.1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就诊提醒服务：根据用户预约挂号信息，通过微信公众号自动发送就诊提醒，包括时间、地点等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；</w:t>
      </w:r>
    </w:p>
    <w:p w14:paraId="08C5600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firstLine="720" w:firstLineChars="3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  <w:t>5.2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用药提醒服务：据医生医嘱和用户用药记录，设置用药提醒，提醒用户按时服药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；</w:t>
      </w:r>
    </w:p>
    <w:p w14:paraId="7A3379A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firstLine="720" w:firstLineChars="3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  <w:t>5.3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复诊提醒服务对需要复诊的用户，根据医生建议和病历数据，自动发送复诊提醒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；</w:t>
      </w:r>
    </w:p>
    <w:p w14:paraId="1EE4798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ind w:left="0" w:leftChars="0" w:firstLine="720" w:firstLineChars="3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  <w:t>5.4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健康小贴士服务：结合用户健康状况和季节特点，通过微信公众号发送健康小贴士，提高用户健康意识。</w:t>
      </w:r>
    </w:p>
    <w:p w14:paraId="1BEED813">
      <w:pPr>
        <w:pStyle w:val="28"/>
        <w:snapToGrid w:val="0"/>
        <w:spacing w:line="500" w:lineRule="exact"/>
        <w:ind w:firstLine="0" w:firstLineChars="0"/>
        <w:textAlignment w:val="baseline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794B5BFE">
      <w:pPr>
        <w:jc w:val="left"/>
        <w:rPr>
          <w:rFonts w:hint="eastAsia" w:ascii="宋体" w:hAnsi="宋体" w:eastAsia="宋体" w:cs="宋体"/>
          <w:b/>
          <w:sz w:val="32"/>
        </w:rPr>
      </w:pPr>
    </w:p>
    <w:p w14:paraId="13F1212A">
      <w:pPr>
        <w:spacing w:line="360" w:lineRule="auto"/>
        <w:jc w:val="left"/>
        <w:rPr>
          <w:rFonts w:hint="eastAsia" w:ascii="华文中宋" w:hAnsi="华文中宋" w:eastAsia="华文中宋"/>
          <w:b/>
          <w:color w:val="000000" w:themeColor="text1"/>
          <w:sz w:val="32"/>
        </w:rPr>
      </w:pPr>
    </w:p>
    <w:p w14:paraId="1FD203D9">
      <w:pPr>
        <w:spacing w:line="360" w:lineRule="auto"/>
        <w:jc w:val="left"/>
        <w:rPr>
          <w:rFonts w:hint="eastAsia" w:ascii="华文中宋" w:hAnsi="华文中宋" w:eastAsia="华文中宋"/>
          <w:b/>
          <w:color w:val="000000" w:themeColor="text1"/>
          <w:sz w:val="32"/>
        </w:rPr>
      </w:pPr>
    </w:p>
    <w:p w14:paraId="1B39139D">
      <w:pPr>
        <w:pStyle w:val="5"/>
        <w:rPr>
          <w:rFonts w:hint="default"/>
          <w:lang w:val="en-US" w:eastAsia="zh-CN"/>
        </w:rPr>
      </w:pPr>
      <w:bookmarkStart w:id="2" w:name="_GoBack"/>
      <w:bookmarkEnd w:id="2"/>
    </w:p>
    <w:sectPr>
      <w:footerReference r:id="rId3" w:type="default"/>
      <w:pgSz w:w="11906" w:h="16838"/>
      <w:pgMar w:top="1417" w:right="850" w:bottom="1417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FC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164454">
    <w:pPr>
      <w:pStyle w:val="9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2970FA"/>
    <w:multiLevelType w:val="singleLevel"/>
    <w:tmpl w:val="C92970FA"/>
    <w:lvl w:ilvl="0" w:tentative="0">
      <w:start w:val="5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2Y2MjE2NWRiNWExODdlZTQ4NmVmMGRlZmE1OTlkMzcifQ=="/>
  </w:docVars>
  <w:rsids>
    <w:rsidRoot w:val="00E22E45"/>
    <w:rsid w:val="00001C3B"/>
    <w:rsid w:val="000410A6"/>
    <w:rsid w:val="00050ED4"/>
    <w:rsid w:val="00051D2B"/>
    <w:rsid w:val="00074390"/>
    <w:rsid w:val="000D2646"/>
    <w:rsid w:val="00112B47"/>
    <w:rsid w:val="00113045"/>
    <w:rsid w:val="00192D51"/>
    <w:rsid w:val="001A7950"/>
    <w:rsid w:val="001B3AAF"/>
    <w:rsid w:val="0020468A"/>
    <w:rsid w:val="00213504"/>
    <w:rsid w:val="002408FC"/>
    <w:rsid w:val="002554A9"/>
    <w:rsid w:val="0025732E"/>
    <w:rsid w:val="00283F95"/>
    <w:rsid w:val="002907C5"/>
    <w:rsid w:val="002E2DA8"/>
    <w:rsid w:val="002E6E39"/>
    <w:rsid w:val="0031681B"/>
    <w:rsid w:val="003228B1"/>
    <w:rsid w:val="00347EC8"/>
    <w:rsid w:val="003A70FA"/>
    <w:rsid w:val="003C4A89"/>
    <w:rsid w:val="003E7865"/>
    <w:rsid w:val="003F606A"/>
    <w:rsid w:val="00403BD4"/>
    <w:rsid w:val="004228CC"/>
    <w:rsid w:val="00430CEE"/>
    <w:rsid w:val="0047555D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5871"/>
    <w:rsid w:val="00580A53"/>
    <w:rsid w:val="005D51A2"/>
    <w:rsid w:val="00614CB0"/>
    <w:rsid w:val="00636BC4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F3F42"/>
    <w:rsid w:val="00810144"/>
    <w:rsid w:val="00823E53"/>
    <w:rsid w:val="00837BCE"/>
    <w:rsid w:val="008B08A0"/>
    <w:rsid w:val="008C0943"/>
    <w:rsid w:val="008C7F30"/>
    <w:rsid w:val="008F126A"/>
    <w:rsid w:val="008F6197"/>
    <w:rsid w:val="00914264"/>
    <w:rsid w:val="009C1FC5"/>
    <w:rsid w:val="009C55DC"/>
    <w:rsid w:val="00A56023"/>
    <w:rsid w:val="00A90013"/>
    <w:rsid w:val="00A91080"/>
    <w:rsid w:val="00AC4080"/>
    <w:rsid w:val="00AD7793"/>
    <w:rsid w:val="00B0488C"/>
    <w:rsid w:val="00B12D10"/>
    <w:rsid w:val="00B140BC"/>
    <w:rsid w:val="00B16835"/>
    <w:rsid w:val="00B21A3D"/>
    <w:rsid w:val="00B52DAF"/>
    <w:rsid w:val="00B6313B"/>
    <w:rsid w:val="00B86E23"/>
    <w:rsid w:val="00BE40F8"/>
    <w:rsid w:val="00C04E23"/>
    <w:rsid w:val="00C16401"/>
    <w:rsid w:val="00C22F6A"/>
    <w:rsid w:val="00C65737"/>
    <w:rsid w:val="00C717D3"/>
    <w:rsid w:val="00C71D2D"/>
    <w:rsid w:val="00C72768"/>
    <w:rsid w:val="00CD2F36"/>
    <w:rsid w:val="00CD7356"/>
    <w:rsid w:val="00CE62E8"/>
    <w:rsid w:val="00D23E2A"/>
    <w:rsid w:val="00D84C1E"/>
    <w:rsid w:val="00D8582B"/>
    <w:rsid w:val="00D915EF"/>
    <w:rsid w:val="00DD0717"/>
    <w:rsid w:val="00E22E45"/>
    <w:rsid w:val="00E23AE4"/>
    <w:rsid w:val="00E24F50"/>
    <w:rsid w:val="00E92CCE"/>
    <w:rsid w:val="00EB73D2"/>
    <w:rsid w:val="00EE732C"/>
    <w:rsid w:val="00F127B5"/>
    <w:rsid w:val="00F30A99"/>
    <w:rsid w:val="00F54FEB"/>
    <w:rsid w:val="00F56E20"/>
    <w:rsid w:val="00F64198"/>
    <w:rsid w:val="00F7479E"/>
    <w:rsid w:val="00F91F4A"/>
    <w:rsid w:val="00FE7076"/>
    <w:rsid w:val="01DC691C"/>
    <w:rsid w:val="01EE0DCD"/>
    <w:rsid w:val="02554973"/>
    <w:rsid w:val="0659173C"/>
    <w:rsid w:val="0BE11C3F"/>
    <w:rsid w:val="0DC61272"/>
    <w:rsid w:val="103B4960"/>
    <w:rsid w:val="134C2350"/>
    <w:rsid w:val="13D71558"/>
    <w:rsid w:val="13FB79ED"/>
    <w:rsid w:val="1C2B6BFA"/>
    <w:rsid w:val="1C60245D"/>
    <w:rsid w:val="1C985A0D"/>
    <w:rsid w:val="1E200CF1"/>
    <w:rsid w:val="22442911"/>
    <w:rsid w:val="236E24FF"/>
    <w:rsid w:val="23D42CAA"/>
    <w:rsid w:val="268D5A41"/>
    <w:rsid w:val="291A3AEB"/>
    <w:rsid w:val="296B42B5"/>
    <w:rsid w:val="29DA6B40"/>
    <w:rsid w:val="2B796EBE"/>
    <w:rsid w:val="300817D1"/>
    <w:rsid w:val="332B5D3D"/>
    <w:rsid w:val="34DB5F9F"/>
    <w:rsid w:val="38520016"/>
    <w:rsid w:val="38C31910"/>
    <w:rsid w:val="3B8B7C9A"/>
    <w:rsid w:val="3D5529A7"/>
    <w:rsid w:val="3DBC3894"/>
    <w:rsid w:val="3E960D7F"/>
    <w:rsid w:val="43497E85"/>
    <w:rsid w:val="45763769"/>
    <w:rsid w:val="4962387D"/>
    <w:rsid w:val="4BB74194"/>
    <w:rsid w:val="4BBE59BD"/>
    <w:rsid w:val="4BBE6CC9"/>
    <w:rsid w:val="5074152A"/>
    <w:rsid w:val="57CC719B"/>
    <w:rsid w:val="5A00477A"/>
    <w:rsid w:val="5B397415"/>
    <w:rsid w:val="5E9952E6"/>
    <w:rsid w:val="5F993E84"/>
    <w:rsid w:val="60445419"/>
    <w:rsid w:val="620D4B02"/>
    <w:rsid w:val="627D77E8"/>
    <w:rsid w:val="6A7A7481"/>
    <w:rsid w:val="6B9F1111"/>
    <w:rsid w:val="70280265"/>
    <w:rsid w:val="718C0CA1"/>
    <w:rsid w:val="72D2075E"/>
    <w:rsid w:val="74324BCE"/>
    <w:rsid w:val="74D53826"/>
    <w:rsid w:val="7FCB3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qFormat="1" w:unhideWhenUsed="0" w:uiPriority="0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21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200" w:firstLineChars="200"/>
    </w:p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Body Text"/>
    <w:basedOn w:val="1"/>
    <w:next w:val="1"/>
    <w:semiHidden/>
    <w:unhideWhenUsed/>
    <w:qFormat/>
    <w:uiPriority w:val="0"/>
    <w:pPr>
      <w:spacing w:after="120"/>
    </w:pPr>
  </w:style>
  <w:style w:type="paragraph" w:styleId="6">
    <w:name w:val="Date"/>
    <w:basedOn w:val="1"/>
    <w:next w:val="1"/>
    <w:link w:val="24"/>
    <w:semiHidden/>
    <w:unhideWhenUsed/>
    <w:qFormat/>
    <w:uiPriority w:val="99"/>
    <w:pPr>
      <w:ind w:left="100" w:leftChars="2500"/>
    </w:pPr>
  </w:style>
  <w:style w:type="paragraph" w:styleId="7">
    <w:name w:val="endnote text"/>
    <w:basedOn w:val="1"/>
    <w:qFormat/>
    <w:uiPriority w:val="0"/>
    <w:pPr>
      <w:snapToGrid w:val="0"/>
      <w:jc w:val="left"/>
    </w:pPr>
  </w:style>
  <w:style w:type="paragraph" w:styleId="8">
    <w:name w:val="Balloon Text"/>
    <w:basedOn w:val="1"/>
    <w:link w:val="25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table" w:styleId="14">
    <w:name w:val="Table Grid"/>
    <w:basedOn w:val="1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page number"/>
    <w:qFormat/>
    <w:uiPriority w:val="0"/>
  </w:style>
  <w:style w:type="character" w:styleId="17">
    <w:name w:val="Hyperlink"/>
    <w:basedOn w:val="15"/>
    <w:unhideWhenUsed/>
    <w:qFormat/>
    <w:uiPriority w:val="99"/>
    <w:rPr>
      <w:color w:val="0000FF" w:themeColor="hyperlink"/>
      <w:u w:val="single"/>
    </w:rPr>
  </w:style>
  <w:style w:type="character" w:customStyle="1" w:styleId="18">
    <w:name w:val="页眉 Char"/>
    <w:basedOn w:val="15"/>
    <w:link w:val="10"/>
    <w:qFormat/>
    <w:uiPriority w:val="99"/>
    <w:rPr>
      <w:sz w:val="18"/>
      <w:szCs w:val="18"/>
    </w:rPr>
  </w:style>
  <w:style w:type="character" w:customStyle="1" w:styleId="19">
    <w:name w:val="页脚 Char"/>
    <w:basedOn w:val="15"/>
    <w:link w:val="9"/>
    <w:qFormat/>
    <w:uiPriority w:val="99"/>
    <w:rPr>
      <w:sz w:val="18"/>
      <w:szCs w:val="18"/>
    </w:rPr>
  </w:style>
  <w:style w:type="paragraph" w:styleId="20">
    <w:name w:val="List Paragraph"/>
    <w:basedOn w:val="1"/>
    <w:qFormat/>
    <w:uiPriority w:val="34"/>
    <w:pPr>
      <w:ind w:firstLine="420" w:firstLineChars="200"/>
    </w:pPr>
  </w:style>
  <w:style w:type="character" w:customStyle="1" w:styleId="21">
    <w:name w:val="标题 2 Char"/>
    <w:basedOn w:val="15"/>
    <w:link w:val="2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2">
    <w:name w:val="列出段落 Char"/>
    <w:link w:val="23"/>
    <w:qFormat/>
    <w:uiPriority w:val="34"/>
    <w:rPr>
      <w:rFonts w:ascii="宋体" w:hAnsi="宋体" w:cs="宋体"/>
      <w:sz w:val="24"/>
      <w:szCs w:val="24"/>
    </w:rPr>
  </w:style>
  <w:style w:type="paragraph" w:customStyle="1" w:styleId="23">
    <w:name w:val="列出段落1"/>
    <w:basedOn w:val="1"/>
    <w:link w:val="22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4">
    <w:name w:val="日期 Char"/>
    <w:basedOn w:val="15"/>
    <w:link w:val="6"/>
    <w:semiHidden/>
    <w:qFormat/>
    <w:uiPriority w:val="99"/>
  </w:style>
  <w:style w:type="character" w:customStyle="1" w:styleId="25">
    <w:name w:val="批注框文本 Char"/>
    <w:basedOn w:val="15"/>
    <w:link w:val="8"/>
    <w:semiHidden/>
    <w:qFormat/>
    <w:uiPriority w:val="99"/>
    <w:rPr>
      <w:sz w:val="18"/>
      <w:szCs w:val="18"/>
    </w:rPr>
  </w:style>
  <w:style w:type="character" w:customStyle="1" w:styleId="26">
    <w:name w:val="font01"/>
    <w:basedOn w:val="1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27">
    <w:name w:val="正文首行缩进两字符"/>
    <w:basedOn w:val="1"/>
    <w:qFormat/>
    <w:uiPriority w:val="0"/>
    <w:pPr>
      <w:spacing w:line="360" w:lineRule="auto"/>
      <w:ind w:firstLine="200" w:firstLineChars="200"/>
    </w:pPr>
  </w:style>
  <w:style w:type="paragraph" w:customStyle="1" w:styleId="28">
    <w:name w:val="样式 首行缩进:  2 字符"/>
    <w:basedOn w:val="1"/>
    <w:autoRedefine/>
    <w:qFormat/>
    <w:uiPriority w:val="99"/>
    <w:pPr>
      <w:spacing w:line="400" w:lineRule="exact"/>
      <w:ind w:firstLine="200" w:firstLineChars="200"/>
    </w:pPr>
    <w:rPr>
      <w:rFonts w:cs="宋体"/>
      <w:sz w:val="24"/>
    </w:rPr>
  </w:style>
  <w:style w:type="paragraph" w:customStyle="1" w:styleId="29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4999</Words>
  <Characters>5474</Characters>
  <Lines>14</Lines>
  <Paragraphs>4</Paragraphs>
  <TotalTime>7</TotalTime>
  <ScaleCrop>false</ScaleCrop>
  <LinksUpToDate>false</LinksUpToDate>
  <CharactersWithSpaces>5565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2019-01-04T06:50:00Z</dcterms:created>
  <dc:creator>HOUQING</dc:creator>
  <cp:lastModifiedBy>cs</cp:lastModifiedBy>
  <cp:lastPrinted>2025-04-01T09:07:00Z</cp:lastPrinted>
  <dcterms:modified xsi:type="dcterms:W3CDTF">2025-04-08T06:39:26Z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EC3FD689C5D342D799BD160DC760BFDB</vt:lpwstr>
  </property>
  <property fmtid="{D5CDD505-2E9C-101B-9397-08002B2CF9AE}" pid="4" name="KSOTemplateDocerSaveRecord">
    <vt:lpwstr>eyJoZGlkIjoiM2Y2MjE2NWRiNWExODdlZTQ4NmVmMGRlZmE1OTlkMzciLCJ1c2VySWQiOiIzODE0OTM3MTIifQ==</vt:lpwstr>
  </property>
</Properties>
</file>