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highlight w:val="yellow"/>
          <w:lang w:val="en-US" w:eastAsia="zh-CN"/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4"/>
        <w:tblW w:w="9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665"/>
        <w:gridCol w:w="561"/>
        <w:gridCol w:w="5323"/>
        <w:gridCol w:w="930"/>
      </w:tblGrid>
      <w:tr w14:paraId="4F8B3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89" w:type="dxa"/>
            <w:noWrap w:val="0"/>
            <w:vAlign w:val="center"/>
          </w:tcPr>
          <w:p w14:paraId="66FF93DE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65" w:type="dxa"/>
            <w:noWrap w:val="0"/>
            <w:vAlign w:val="center"/>
          </w:tcPr>
          <w:p w14:paraId="6221C6B0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评分因素</w:t>
            </w:r>
          </w:p>
          <w:p w14:paraId="493C2665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 w14:paraId="680B413F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6C14E939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 w14:paraId="0E14B21D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8B93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689" w:type="dxa"/>
            <w:noWrap w:val="0"/>
            <w:vAlign w:val="center"/>
          </w:tcPr>
          <w:p w14:paraId="7C0B0C63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2" w:colLast="2"/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5" w:type="dxa"/>
            <w:noWrap w:val="0"/>
            <w:vAlign w:val="center"/>
          </w:tcPr>
          <w:p w14:paraId="5A140FA6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报价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561" w:type="dxa"/>
            <w:noWrap w:val="0"/>
            <w:vAlign w:val="center"/>
          </w:tcPr>
          <w:p w14:paraId="27942215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1C17E21A">
            <w:pPr>
              <w:widowControl/>
              <w:spacing w:line="276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pacing w:val="0"/>
                <w:sz w:val="21"/>
                <w:szCs w:val="21"/>
                <w:lang w:val="en-US" w:eastAsia="zh-CN"/>
              </w:rPr>
              <w:t>满足投标文件要求且报价最低的供应商的价格为基准价，其价格为满分。其他供应商的价格分统一按照下列公式计算：报价得分=（基准价/最后报价）×30%×100%</w:t>
            </w:r>
          </w:p>
        </w:tc>
        <w:tc>
          <w:tcPr>
            <w:tcW w:w="930" w:type="dxa"/>
            <w:noWrap w:val="0"/>
            <w:vAlign w:val="center"/>
          </w:tcPr>
          <w:p w14:paraId="4343BD97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  <w:tr w14:paraId="75D7F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0" w:hRule="atLeast"/>
          <w:jc w:val="center"/>
        </w:trPr>
        <w:tc>
          <w:tcPr>
            <w:tcW w:w="689" w:type="dxa"/>
            <w:noWrap w:val="0"/>
            <w:vAlign w:val="center"/>
          </w:tcPr>
          <w:p w14:paraId="6FBA8B99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5" w:type="dxa"/>
            <w:noWrap w:val="0"/>
            <w:vAlign w:val="center"/>
          </w:tcPr>
          <w:p w14:paraId="21CF7292">
            <w:pPr>
              <w:spacing w:line="264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活动策划方案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%）</w:t>
            </w:r>
          </w:p>
          <w:p w14:paraId="12B6697D">
            <w:pPr>
              <w:spacing w:line="264" w:lineRule="auto"/>
              <w:ind w:firstLine="42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1" w:type="dxa"/>
            <w:noWrap w:val="0"/>
            <w:vAlign w:val="center"/>
          </w:tcPr>
          <w:p w14:paraId="59851002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2B75CB05">
            <w:pPr>
              <w:widowControl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根据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供应商针对本项目所提供的游园会服务活动策划方案进行综合评审，方案包括以下内容;</w:t>
            </w:r>
            <w:r>
              <w:rPr>
                <w:rFonts w:hint="default" w:ascii="Calibri" w:hAnsi="Calibri" w:eastAsia="仿宋" w:cs="Calibri"/>
                <w:sz w:val="21"/>
                <w:szCs w:val="21"/>
                <w:lang w:val="en-US" w:eastAsia="zh-CN"/>
              </w:rPr>
              <w:t>①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活动策划大纲；</w:t>
            </w:r>
            <w:r>
              <w:rPr>
                <w:rFonts w:hint="default" w:ascii="Calibri" w:hAnsi="Calibri" w:eastAsia="仿宋" w:cs="Calibri"/>
                <w:sz w:val="21"/>
                <w:szCs w:val="21"/>
                <w:lang w:val="en-US" w:eastAsia="zh-CN"/>
              </w:rPr>
              <w:t>②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游园会活动搭建、灯光、氛围营造等活动策划创意方案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</w:rPr>
              <w:t>提供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  <w:lang w:val="en-US" w:eastAsia="zh-CN"/>
              </w:rPr>
              <w:t>方案对应的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highlight w:val="none"/>
              </w:rPr>
              <w:t>活动现场效果图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上述方案完整、内容描述详细、完全符合本项目需求得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分；方案中每缺失一项扣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分；每有一处内容有缺陷扣1-10分，直至本项分值扣完为止，未提供不得分。</w:t>
            </w:r>
          </w:p>
          <w:p w14:paraId="0DCAF9AB"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</w:pPr>
          </w:p>
          <w:p w14:paraId="4F37ADDD"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（缺陷是指：存在不适用项目实际情况的情形、凭空编造、内容前后不一致、前后逻辑错误、涉及的规范及标准错误、地点区域错误、内容缺失、与项目实施特点不匹配等）</w:t>
            </w:r>
          </w:p>
        </w:tc>
        <w:tc>
          <w:tcPr>
            <w:tcW w:w="930" w:type="dxa"/>
            <w:noWrap w:val="0"/>
            <w:vAlign w:val="center"/>
          </w:tcPr>
          <w:p w14:paraId="69A101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30B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89" w:type="dxa"/>
            <w:noWrap w:val="0"/>
            <w:vAlign w:val="center"/>
          </w:tcPr>
          <w:p w14:paraId="59703D31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65" w:type="dxa"/>
            <w:noWrap w:val="0"/>
            <w:vAlign w:val="center"/>
          </w:tcPr>
          <w:p w14:paraId="0E65A235">
            <w:pPr>
              <w:keepNext w:val="0"/>
              <w:keepLines w:val="0"/>
              <w:widowControl/>
              <w:suppressLineNumbers w:val="0"/>
              <w:spacing w:line="264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服务质量保障方案</w:t>
            </w:r>
          </w:p>
          <w:p w14:paraId="21299399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（20%）</w:t>
            </w:r>
          </w:p>
        </w:tc>
        <w:tc>
          <w:tcPr>
            <w:tcW w:w="561" w:type="dxa"/>
            <w:noWrap w:val="0"/>
            <w:vAlign w:val="center"/>
          </w:tcPr>
          <w:p w14:paraId="2E30BACD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20分</w:t>
            </w:r>
          </w:p>
        </w:tc>
        <w:tc>
          <w:tcPr>
            <w:tcW w:w="5323" w:type="dxa"/>
            <w:noWrap w:val="0"/>
            <w:vAlign w:val="center"/>
          </w:tcPr>
          <w:p w14:paraId="706136F1">
            <w:pPr>
              <w:widowControl/>
              <w:spacing w:after="0" w:afterLines="-2147483648"/>
              <w:ind w:firstLine="42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根据供应商针对本项目制定的服务质量保障方案进行综合评审，方案包括以下内容：①与采购人的沟通交流机制；②项目管理制度；③工作进度计划；④质量保障措施。各项内容为专门针对本项目编制，符合本项目实际情况，能够保障项目顺利实施的得20分；每缺少一项内容扣5分；每有一项内容存在缺陷的的扣1-5分，扣完为止，未提供不得分。</w:t>
            </w:r>
          </w:p>
          <w:p w14:paraId="357078B9">
            <w:pPr>
              <w:widowControl/>
              <w:spacing w:after="0" w:afterLines="-2147483648"/>
              <w:ind w:firstLine="42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（缺陷是指：存在不适用项目实际情况的情形、凭空编造、内容前后不一致、前后逻辑错误、涉及的规范及标准错误、地点区域错误、内容缺失、与项目实施特点不匹配等）</w:t>
            </w:r>
          </w:p>
        </w:tc>
        <w:tc>
          <w:tcPr>
            <w:tcW w:w="930" w:type="dxa"/>
            <w:noWrap w:val="0"/>
            <w:vAlign w:val="center"/>
          </w:tcPr>
          <w:p w14:paraId="3448E7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152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89" w:type="dxa"/>
            <w:noWrap w:val="0"/>
            <w:vAlign w:val="center"/>
          </w:tcPr>
          <w:p w14:paraId="0B3F5898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65" w:type="dxa"/>
            <w:noWrap w:val="0"/>
            <w:vAlign w:val="center"/>
          </w:tcPr>
          <w:p w14:paraId="3B321DB3">
            <w:pPr>
              <w:keepNext w:val="0"/>
              <w:keepLines w:val="0"/>
              <w:widowControl/>
              <w:suppressLineNumbers w:val="0"/>
              <w:spacing w:line="264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服务人员配置方案</w:t>
            </w:r>
          </w:p>
          <w:p w14:paraId="743D1FEF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%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40F036B2"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3C60FF9D">
            <w:pPr>
              <w:widowControl/>
              <w:spacing w:after="0" w:afterLines="-2147483648"/>
              <w:ind w:firstLine="42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根据供应商针对本项目所提供的人员配备方案进行综合评审，方案包括以下内容：①项目人员组织架构；②工作人员配置及分工职责。上述方案完整、内容描述详细、完全符合采购项目需求得12分；方案中每缺失一项扣6分；每有一处内容存在缺陷的扣1-6分，扣完为止，未提供不得分。</w:t>
            </w:r>
          </w:p>
          <w:p w14:paraId="3B11BEC0">
            <w:pPr>
              <w:pStyle w:val="3"/>
              <w:snapToGrid w:val="0"/>
              <w:spacing w:before="0" w:beforeLines="0" w:after="0" w:afterLines="0" w:line="240" w:lineRule="auto"/>
              <w:ind w:firstLine="420" w:firstLineChars="200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（缺陷是指：存在不适用项目实际情况的情形、凭空编造、内容前后不一致、前后逻辑错误、涉及的规范及标准错误、地点区域错误、内容缺失、与项目实施特点不匹配等）</w:t>
            </w:r>
          </w:p>
        </w:tc>
        <w:tc>
          <w:tcPr>
            <w:tcW w:w="930" w:type="dxa"/>
            <w:noWrap w:val="0"/>
            <w:vAlign w:val="center"/>
          </w:tcPr>
          <w:p w14:paraId="5369E5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F6D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89" w:type="dxa"/>
            <w:noWrap w:val="0"/>
            <w:vAlign w:val="center"/>
          </w:tcPr>
          <w:p w14:paraId="4BCFF310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65" w:type="dxa"/>
            <w:noWrap w:val="0"/>
            <w:vAlign w:val="center"/>
          </w:tcPr>
          <w:p w14:paraId="0180C042">
            <w:pPr>
              <w:keepNext w:val="0"/>
              <w:keepLines w:val="0"/>
              <w:widowControl/>
              <w:suppressLineNumbers w:val="0"/>
              <w:spacing w:line="264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应急方案</w:t>
            </w:r>
          </w:p>
          <w:p w14:paraId="3A2626B1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%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514F33AB">
            <w:pPr>
              <w:widowControl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9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3602EDB1">
            <w:pPr>
              <w:widowControl/>
              <w:spacing w:after="0" w:afterLines="-2147483648"/>
              <w:ind w:firstLine="42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根据供应商针对本项目所提供的应急服务方案综合评比，方案包括以下内容：①活动现场安全保障措施；②应急处理响应人员及职责分工；③突发事件预防措施及处置；上述方案完整、内容描述详细、完全符合项目需求的得9分；方案中每缺失一项扣3分；每有一处内容缺陷的扣1-3分，扣完为止，未提供不得分。</w:t>
            </w:r>
          </w:p>
          <w:p w14:paraId="51471731">
            <w:pPr>
              <w:spacing w:after="78" w:afterLines="25"/>
              <w:ind w:firstLine="420" w:firstLineChars="200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（缺陷是指：存在不适用项目实际情况的情形、凭空编造、内容前后不一致、前后逻辑错误、涉及的规范及标准错误、地点区域错误、内容缺失、与项目实施特点不匹配等）的扣2分，直至本项分值扣完为止，未提供不得分。</w:t>
            </w:r>
          </w:p>
        </w:tc>
        <w:tc>
          <w:tcPr>
            <w:tcW w:w="930" w:type="dxa"/>
            <w:noWrap w:val="0"/>
            <w:vAlign w:val="center"/>
          </w:tcPr>
          <w:p w14:paraId="005DAF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47B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689" w:type="dxa"/>
            <w:noWrap w:val="0"/>
            <w:vAlign w:val="center"/>
          </w:tcPr>
          <w:p w14:paraId="7E114714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65" w:type="dxa"/>
            <w:noWrap w:val="0"/>
            <w:vAlign w:val="center"/>
          </w:tcPr>
          <w:p w14:paraId="1B6FE309">
            <w:pPr>
              <w:keepNext w:val="0"/>
              <w:keepLines w:val="0"/>
              <w:widowControl/>
              <w:suppressLineNumbers w:val="0"/>
              <w:spacing w:line="264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履约能力</w:t>
            </w:r>
          </w:p>
          <w:p w14:paraId="7406B763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%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0B2EADF7">
            <w:pPr>
              <w:widowControl/>
              <w:ind w:firstLine="0" w:firstLineChars="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9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083A57AF">
            <w:pPr>
              <w:spacing w:after="78" w:afterLines="25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供应商20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年1月1日以来承办或举办的类似业绩，提供一个得1分，最多得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 xml:space="preserve">分。                                  </w:t>
            </w:r>
          </w:p>
          <w:p w14:paraId="09E14405">
            <w:pPr>
              <w:spacing w:after="78" w:afterLines="25"/>
              <w:ind w:firstLine="420" w:firstLineChars="200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"/>
              </w:rPr>
              <w:t>注：项目业绩提供有效证明材料：合同复印件并加盖供应商鲜章），业绩时间以合同协议书签订日期为准。</w:t>
            </w:r>
          </w:p>
        </w:tc>
        <w:tc>
          <w:tcPr>
            <w:tcW w:w="930" w:type="dxa"/>
            <w:noWrap w:val="0"/>
            <w:vAlign w:val="center"/>
          </w:tcPr>
          <w:p w14:paraId="0A4D49B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53432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92E58"/>
    <w:rsid w:val="6429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2025-04-25T08:25:00Z</dcterms:created>
  <dc:creator>邱玥</dc:creator>
  <cp:lastModifiedBy>邱玥</cp:lastModifiedBy>
  <dcterms:modified xsi:type="dcterms:W3CDTF">2025-04-25T08:25:42Z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4727211D7DF44CBDAE842A24ADB3F3BD_11</vt:lpwstr>
  </property>
</Properties>
</file>