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3"/>
        <w:tblpPr w:leftFromText="180" w:rightFromText="180" w:vertAnchor="text" w:horzAnchor="margin" w:tblpX="-665" w:tblpY="31"/>
        <w:tblW w:w="10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1095"/>
        <w:gridCol w:w="585"/>
        <w:gridCol w:w="6660"/>
        <w:gridCol w:w="1365"/>
      </w:tblGrid>
      <w:tr w14:paraId="166D3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540" w:type="dxa"/>
            <w:vAlign w:val="center"/>
          </w:tcPr>
          <w:p w14:paraId="663B398A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95" w:type="dxa"/>
            <w:vAlign w:val="center"/>
          </w:tcPr>
          <w:p w14:paraId="416FCC73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 w14:paraId="00EA7A3A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85" w:type="dxa"/>
            <w:vAlign w:val="center"/>
          </w:tcPr>
          <w:p w14:paraId="642F2927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6660" w:type="dxa"/>
            <w:vAlign w:val="center"/>
          </w:tcPr>
          <w:p w14:paraId="0D050848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2CBEC6B"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7FA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540" w:type="dxa"/>
            <w:vAlign w:val="center"/>
          </w:tcPr>
          <w:p w14:paraId="1DFA3DA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5" w:type="dxa"/>
            <w:vAlign w:val="center"/>
          </w:tcPr>
          <w:p w14:paraId="08B20E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报价</w:t>
            </w:r>
          </w:p>
          <w:p w14:paraId="3F6129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（10%）</w:t>
            </w:r>
          </w:p>
        </w:tc>
        <w:tc>
          <w:tcPr>
            <w:tcW w:w="585" w:type="dxa"/>
            <w:vAlign w:val="center"/>
          </w:tcPr>
          <w:p w14:paraId="5A57D1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6660" w:type="dxa"/>
            <w:vAlign w:val="center"/>
          </w:tcPr>
          <w:p w14:paraId="44B10B5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满足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文件要求且价格最低的投标报价为评标基准价，其价格分为满分。其他投标人的价格分统一按照下列公式计算：投标报价得分=(评标基准价／投标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报价)×10×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1E63E161"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 w14:paraId="02636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540" w:type="dxa"/>
            <w:vAlign w:val="center"/>
          </w:tcPr>
          <w:p w14:paraId="52218E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5" w:type="dxa"/>
            <w:vAlign w:val="center"/>
          </w:tcPr>
          <w:p w14:paraId="25FF28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服务要求（10%）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2E815E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484332D5">
            <w:pPr>
              <w:widowControl/>
              <w:spacing w:line="300" w:lineRule="exact"/>
              <w:jc w:val="both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投标人针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对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要求中一般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要求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参数条款的响应得分规则如下：</w:t>
            </w:r>
          </w:p>
          <w:p w14:paraId="40251E1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一般参数条款响应得分=（投标人满足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一般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参数条款的数量÷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一般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参数条款的总数量）×10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</w:rPr>
              <w:t>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  <w:lang w:val="en-US" w:eastAsia="zh-CN"/>
              </w:rPr>
              <w:t>100%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。（共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条，保留至小数点后2位）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0012557A"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 w14:paraId="2D03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0" w:hRule="atLeast"/>
        </w:trPr>
        <w:tc>
          <w:tcPr>
            <w:tcW w:w="540" w:type="dxa"/>
            <w:vAlign w:val="center"/>
          </w:tcPr>
          <w:p w14:paraId="56E253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3</w:t>
            </w:r>
          </w:p>
        </w:tc>
        <w:tc>
          <w:tcPr>
            <w:tcW w:w="1095" w:type="dxa"/>
            <w:vAlign w:val="center"/>
          </w:tcPr>
          <w:p w14:paraId="3ED8F6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团队能力（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0%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）</w:t>
            </w:r>
          </w:p>
        </w:tc>
        <w:tc>
          <w:tcPr>
            <w:tcW w:w="585" w:type="dxa"/>
            <w:vAlign w:val="center"/>
          </w:tcPr>
          <w:p w14:paraId="07B4C2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0分</w:t>
            </w:r>
          </w:p>
        </w:tc>
        <w:tc>
          <w:tcPr>
            <w:tcW w:w="6660" w:type="dxa"/>
            <w:vAlign w:val="center"/>
          </w:tcPr>
          <w:p w14:paraId="07A23816">
            <w:pPr>
              <w:widowControl/>
              <w:spacing w:line="300" w:lineRule="exact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①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为本项目专门配备的导演，须具有较高艺术创造力，能有效组织拍摄内容及质量，统一指导现场拍摄、录音、用光以及后期剪辑，能为影片找到恰当的表达形式，导演从业经验5年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以上，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为传播学专业本科及以上的，得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分。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</w:rPr>
              <w:t>②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为本项目专门配备的摄影师，拍摄从业经验在5年及以上的，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为广播电视电影编导或摄影相关专业本科及以上的，得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③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为本项目专门配备的编剧，须为本项目主要创作人员，负责策划、撰写、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拍摄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前期的调研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研究和分析脚本及提供后续相关文本等工作，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为广播电视电影编导专业本科及以上的，得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分。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④</w:t>
            </w:r>
            <w:r>
              <w:rPr>
                <w:rFonts w:hint="eastAsia" w:ascii="Calibri" w:hAnsi="Calibri" w:eastAsia="仿宋" w:cs="Calibri"/>
                <w:kern w:val="0"/>
                <w:szCs w:val="21"/>
              </w:rPr>
              <w:t>为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本项目专门配备的美术人员，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为美术相关专业本科及以上的，得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分。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⑤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为本项目专门配备的后期制作人员，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为广播电视电影编导或影视后期相关专业本科及以上的，得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分。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9AA6F7B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>提供相应证明资料</w:t>
            </w:r>
          </w:p>
        </w:tc>
      </w:tr>
      <w:tr w14:paraId="72BA5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2" w:hRule="atLeast"/>
        </w:trPr>
        <w:tc>
          <w:tcPr>
            <w:tcW w:w="540" w:type="dxa"/>
            <w:vAlign w:val="center"/>
          </w:tcPr>
          <w:p w14:paraId="7A4CB9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1095" w:type="dxa"/>
            <w:vAlign w:val="center"/>
          </w:tcPr>
          <w:p w14:paraId="073F8EB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项目经验</w:t>
            </w:r>
          </w:p>
          <w:p w14:paraId="431BC4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（20%）</w:t>
            </w:r>
          </w:p>
        </w:tc>
        <w:tc>
          <w:tcPr>
            <w:tcW w:w="585" w:type="dxa"/>
            <w:vAlign w:val="center"/>
          </w:tcPr>
          <w:p w14:paraId="36EAD9C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20分</w:t>
            </w:r>
          </w:p>
        </w:tc>
        <w:tc>
          <w:tcPr>
            <w:tcW w:w="6660" w:type="dxa"/>
            <w:vAlign w:val="center"/>
          </w:tcPr>
          <w:p w14:paraId="24B7DEA8">
            <w:pPr>
              <w:widowControl/>
              <w:numPr>
                <w:ilvl w:val="255"/>
                <w:numId w:val="0"/>
              </w:numPr>
              <w:spacing w:line="3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1.自202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</w:rPr>
              <w:t>年1月1日以来，有同类型主旋律宣传视频项目拍摄经验的，每有一个项目得1分，最高得10分；</w:t>
            </w:r>
          </w:p>
          <w:p w14:paraId="2B8F2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2.自202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年1月1日以来，团队作品获得过国家级影视奖项的，每一项得2分，获得省级影视奖项，每一项得1分；最高得10分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"/>
              </w:rPr>
              <w:t>。（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"/>
              </w:rPr>
              <w:t>同一作品不重复计分，以该作品获得的最高奖项计算得分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 w:bidi="ar"/>
              </w:rPr>
              <w:t>）</w:t>
            </w:r>
          </w:p>
          <w:p w14:paraId="3F321533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注：1.以加盖投标人公章的合同关键页为准；</w:t>
            </w:r>
          </w:p>
          <w:p w14:paraId="610A3E36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2.提供相应证明资料。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FB9BF9E">
            <w:pPr>
              <w:widowControl/>
              <w:numPr>
                <w:ilvl w:val="255"/>
                <w:numId w:val="0"/>
              </w:numPr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 w14:paraId="6E0CA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0" w:hRule="atLeast"/>
        </w:trPr>
        <w:tc>
          <w:tcPr>
            <w:tcW w:w="540" w:type="dxa"/>
            <w:vAlign w:val="center"/>
          </w:tcPr>
          <w:p w14:paraId="5D0DD9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1095" w:type="dxa"/>
            <w:vAlign w:val="center"/>
          </w:tcPr>
          <w:p w14:paraId="3309943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样片展示</w:t>
            </w:r>
          </w:p>
          <w:p w14:paraId="5BC5F2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0%）</w:t>
            </w:r>
          </w:p>
        </w:tc>
        <w:tc>
          <w:tcPr>
            <w:tcW w:w="585" w:type="dxa"/>
            <w:vAlign w:val="center"/>
          </w:tcPr>
          <w:p w14:paraId="7ADBA7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0分</w:t>
            </w:r>
          </w:p>
        </w:tc>
        <w:tc>
          <w:tcPr>
            <w:tcW w:w="6660" w:type="dxa"/>
            <w:vAlign w:val="center"/>
          </w:tcPr>
          <w:p w14:paraId="5B069DF8">
            <w:pPr>
              <w:widowControl/>
              <w:spacing w:line="300" w:lineRule="exact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针对本项目特点提供近年制作的同类型样片。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①</w:t>
            </w:r>
            <w:r>
              <w:rPr>
                <w:rFonts w:hint="eastAsia" w:ascii="仿宋" w:hAnsi="仿宋" w:eastAsia="仿宋" w:cs="仿宋"/>
                <w:szCs w:val="21"/>
              </w:rPr>
              <w:t>样片视觉品质高清精良、影片整体有艺术高度和美学效果；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②</w:t>
            </w:r>
            <w:r>
              <w:rPr>
                <w:rFonts w:hint="eastAsia" w:ascii="仿宋" w:hAnsi="仿宋" w:eastAsia="仿宋" w:cs="仿宋"/>
                <w:szCs w:val="21"/>
              </w:rPr>
              <w:t>画面构图合理，曝光正常，运动镜头有辅助手段（如摇臂、轨道），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③</w:t>
            </w:r>
            <w:r>
              <w:rPr>
                <w:rFonts w:hint="eastAsia" w:ascii="仿宋" w:hAnsi="仿宋" w:eastAsia="仿宋" w:cs="仿宋"/>
                <w:szCs w:val="21"/>
              </w:rPr>
              <w:t>用光合理，画面视觉效果突出；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④</w:t>
            </w:r>
            <w:r>
              <w:rPr>
                <w:rFonts w:hint="eastAsia" w:ascii="仿宋" w:hAnsi="仿宋" w:eastAsia="仿宋" w:cs="仿宋"/>
                <w:szCs w:val="21"/>
              </w:rPr>
              <w:t>后期制作剪辑流畅、镜头组接合理、节奏变化有序，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⑤</w:t>
            </w:r>
            <w:r>
              <w:rPr>
                <w:rFonts w:hint="eastAsia" w:ascii="仿宋" w:hAnsi="仿宋" w:eastAsia="仿宋" w:cs="仿宋"/>
                <w:szCs w:val="21"/>
              </w:rPr>
              <w:t>音乐、音效应用恰当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样片</w:t>
            </w:r>
            <w:r>
              <w:rPr>
                <w:rFonts w:hint="eastAsia" w:ascii="仿宋" w:hAnsi="仿宋" w:eastAsia="仿宋" w:cs="仿宋"/>
                <w:szCs w:val="21"/>
              </w:rPr>
              <w:t>完全符合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上述要</w:t>
            </w:r>
            <w:r>
              <w:rPr>
                <w:rFonts w:hint="eastAsia" w:ascii="仿宋" w:hAnsi="仿宋" w:eastAsia="仿宋" w:cs="仿宋"/>
                <w:szCs w:val="21"/>
              </w:rPr>
              <w:t>求的得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Cs w:val="21"/>
              </w:rPr>
              <w:t>每有一项不满足的扣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1-4</w:t>
            </w:r>
            <w:r>
              <w:rPr>
                <w:rFonts w:hint="eastAsia" w:ascii="仿宋" w:hAnsi="仿宋" w:eastAsia="仿宋" w:cs="仿宋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提供不得分。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6A26BCDF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提供2-3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val="en-US" w:eastAsia="zh-CN"/>
              </w:rPr>
              <w:t>分钟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微视频样片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val="en-US" w:eastAsia="zh-CN"/>
              </w:rPr>
              <w:t>以U盘形式随投标文件密封提交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）</w:t>
            </w:r>
          </w:p>
        </w:tc>
      </w:tr>
      <w:tr w14:paraId="78FAA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</w:trPr>
        <w:tc>
          <w:tcPr>
            <w:tcW w:w="540" w:type="dxa"/>
            <w:vAlign w:val="center"/>
          </w:tcPr>
          <w:p w14:paraId="00ED72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95" w:type="dxa"/>
            <w:vAlign w:val="center"/>
          </w:tcPr>
          <w:p w14:paraId="1F6CF79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策划方案（30%）</w:t>
            </w:r>
          </w:p>
        </w:tc>
        <w:tc>
          <w:tcPr>
            <w:tcW w:w="585" w:type="dxa"/>
            <w:vAlign w:val="center"/>
          </w:tcPr>
          <w:p w14:paraId="6D5056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30分</w:t>
            </w:r>
          </w:p>
        </w:tc>
        <w:tc>
          <w:tcPr>
            <w:tcW w:w="6660" w:type="dxa"/>
            <w:vAlign w:val="center"/>
          </w:tcPr>
          <w:p w14:paraId="7C8B054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针对本项目特点，提供策划方案，方案内容包括①表达内容及选题、②创意构思、③情节编排、④拍摄手法，⑤项目进度控制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方案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，以上内容无缺陷，能满足项目实际需求的得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分，每有一处缺项扣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分，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每项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具有缺陷的扣1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-6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分，扣完为止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提供不得分。</w:t>
            </w:r>
          </w:p>
          <w:p w14:paraId="19E7998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注：内容缺陷是指非专门针对本项目或不适用项目特性的情形、内容不完整或缺少关键节点、套用其他项目方案、内容前后矛盾、涉及的规范及标准错误、不利于项目实施、不可能实现的情形等任意一种情形。）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D1124B1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提供具体策划方案</w:t>
            </w:r>
          </w:p>
        </w:tc>
      </w:tr>
    </w:tbl>
    <w:p w14:paraId="25CCCD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668C3"/>
    <w:rsid w:val="3F26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2025-05-27T03:09:00Z</dcterms:created>
  <dc:creator>邱玥</dc:creator>
  <cp:lastModifiedBy>邱玥</cp:lastModifiedBy>
  <dcterms:modified xsi:type="dcterms:W3CDTF">2025-05-27T03:12:01Z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4ADEC967B703478AA2BAD8FD65619EBF_11</vt:lpwstr>
  </property>
</Properties>
</file>