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AA54665">
      <w:pPr>
        <w:keepNext w:val="0"/>
        <w:keepLines w:val="0"/>
        <w:pageBreakBefore w:val="0"/>
        <w:widowControl/>
        <w:kinsoku/>
        <w:wordWrap/>
        <w:overflowPunct/>
        <w:topLinePunct w:val="0"/>
        <w:autoSpaceDE/>
        <w:autoSpaceDN/>
        <w:bidi w:val="0"/>
        <w:adjustRightInd/>
        <w:snapToGrid/>
        <w:spacing w:line="240" w:lineRule="auto"/>
        <w:jc w:val="left"/>
        <w:textAlignment w:val="auto"/>
        <w:outlineLvl w:val="9"/>
        <w:rPr>
          <w:rFonts w:hint="eastAsia" w:ascii="黑体" w:hAnsi="黑体" w:eastAsia="黑体" w:cs="黑体"/>
          <w:b/>
          <w:bCs/>
          <w:kern w:val="0"/>
          <w:sz w:val="32"/>
          <w:szCs w:val="32"/>
          <w:highlight w:val="none"/>
          <w:lang w:val="en-US" w:eastAsia="zh-CN" w:bidi="ar-SA"/>
        </w:rPr>
      </w:pPr>
      <w:r>
        <w:rPr>
          <w:rFonts w:hint="eastAsia" w:ascii="黑体" w:hAnsi="黑体" w:eastAsia="黑体" w:cs="黑体"/>
          <w:b/>
          <w:bCs/>
          <w:kern w:val="0"/>
          <w:sz w:val="32"/>
          <w:szCs w:val="32"/>
          <w:highlight w:val="none"/>
          <w:lang w:val="en-US" w:eastAsia="zh-CN" w:bidi="ar-SA"/>
        </w:rPr>
        <w:t>附件一、项目需求</w:t>
      </w:r>
    </w:p>
    <w:p w14:paraId="43EFA5E8">
      <w:pPr>
        <w:spacing w:line="500" w:lineRule="exact"/>
        <w:rPr>
          <w:rFonts w:hint="eastAsia"/>
          <w:color w:val="000000" w:themeColor="text1"/>
          <w14:textFill>
            <w14:solidFill>
              <w14:schemeClr w14:val="tx1"/>
            </w14:solidFill>
          </w14:textFill>
        </w:rPr>
      </w:pPr>
      <w:r>
        <w:rPr>
          <w:rFonts w:hint="eastAsia" w:ascii="宋体" w:hAnsi="宋体" w:eastAsia="宋体" w:cs="宋体"/>
          <w:b w:val="0"/>
          <w:bCs w:val="0"/>
          <w:color w:val="000000" w:themeColor="text1"/>
          <w:sz w:val="24"/>
          <w:szCs w:val="22"/>
          <w:highlight w:val="none"/>
          <w:lang w:eastAsia="zh-CN"/>
          <w14:textFill>
            <w14:solidFill>
              <w14:schemeClr w14:val="tx1"/>
            </w14:solidFill>
          </w14:textFill>
        </w:rPr>
        <w:t>（</w:t>
      </w:r>
      <w:r>
        <w:rPr>
          <w:rFonts w:hint="eastAsia" w:ascii="宋体" w:hAnsi="宋体" w:eastAsia="宋体" w:cs="宋体"/>
          <w:color w:val="000000" w:themeColor="text1"/>
          <w:sz w:val="24"/>
          <w:highlight w:val="none"/>
          <w14:textFill>
            <w14:solidFill>
              <w14:schemeClr w14:val="tx1"/>
            </w14:solidFill>
          </w14:textFill>
        </w:rPr>
        <w:t>本章中标注“</w:t>
      </w:r>
      <w:r>
        <w:rPr>
          <w:rFonts w:hint="eastAsia" w:ascii="宋体" w:hAnsi="宋体" w:eastAsia="宋体" w:cs="宋体"/>
          <w:color w:val="000000" w:themeColor="text1"/>
          <w:sz w:val="24"/>
          <w:highlight w:val="none"/>
          <w:lang w:val="en-US" w:eastAsia="zh-CN"/>
          <w14:textFill>
            <w14:solidFill>
              <w14:schemeClr w14:val="tx1"/>
            </w14:solidFill>
          </w14:textFill>
        </w:rPr>
        <w:t>★</w:t>
      </w:r>
      <w:r>
        <w:rPr>
          <w:rFonts w:hint="eastAsia" w:ascii="宋体" w:hAnsi="宋体" w:eastAsia="宋体" w:cs="宋体"/>
          <w:color w:val="000000" w:themeColor="text1"/>
          <w:sz w:val="24"/>
          <w:highlight w:val="none"/>
          <w14:textFill>
            <w14:solidFill>
              <w14:schemeClr w14:val="tx1"/>
            </w14:solidFill>
          </w14:textFill>
        </w:rPr>
        <w:t>”的条款为本项目的实质性条款，投标人不满足的，将按照无效投标处理。</w:t>
      </w:r>
      <w:r>
        <w:rPr>
          <w:rFonts w:hint="eastAsia" w:ascii="宋体" w:hAnsi="宋体" w:eastAsia="宋体" w:cs="宋体"/>
          <w:b w:val="0"/>
          <w:bCs w:val="0"/>
          <w:color w:val="000000" w:themeColor="text1"/>
          <w:sz w:val="24"/>
          <w:szCs w:val="22"/>
          <w:highlight w:val="none"/>
          <w:lang w:eastAsia="zh-CN"/>
          <w14:textFill>
            <w14:solidFill>
              <w14:schemeClr w14:val="tx1"/>
            </w14:solidFill>
          </w14:textFill>
        </w:rPr>
        <w:t>）</w:t>
      </w:r>
    </w:p>
    <w:p w14:paraId="27A56B9A">
      <w:pPr>
        <w:keepNext w:val="0"/>
        <w:keepLines w:val="0"/>
        <w:pageBreakBefore w:val="0"/>
        <w:widowControl w:val="0"/>
        <w:numPr>
          <w:ilvl w:val="0"/>
          <w:numId w:val="0"/>
        </w:numPr>
        <w:kinsoku/>
        <w:wordWrap/>
        <w:overflowPunct/>
        <w:topLinePunct w:val="0"/>
        <w:autoSpaceDE/>
        <w:autoSpaceDN/>
        <w:bidi w:val="0"/>
        <w:adjustRightInd/>
        <w:snapToGrid/>
        <w:spacing w:before="0" w:line="500" w:lineRule="exact"/>
        <w:ind w:right="0" w:rightChars="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一、项目概述     </w:t>
      </w:r>
    </w:p>
    <w:p w14:paraId="499120CA">
      <w:pPr>
        <w:keepNext w:val="0"/>
        <w:keepLines w:val="0"/>
        <w:pageBreakBefore w:val="0"/>
        <w:widowControl/>
        <w:numPr>
          <w:ilvl w:val="255"/>
          <w:numId w:val="0"/>
        </w:numPr>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为全面展示我院妇幼健康平台服务优势，彰显智慧医疗对孕产妇及儿童的全周期健康守护，医院拟采购以医院妇幼健康平台和围产期保健为主题的健康系列科普视频拍摄制作项目。</w:t>
      </w:r>
    </w:p>
    <w:p w14:paraId="12E2375D">
      <w:pPr>
        <w:widowControl/>
        <w:numPr>
          <w:ilvl w:val="255"/>
          <w:numId w:val="0"/>
        </w:numPr>
        <w:spacing w:line="500" w:lineRule="exact"/>
        <w:ind w:firstLine="0" w:firstLineChars="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highlight w:val="none"/>
          <w:lang w:val="en-US" w:eastAsia="zh-CN"/>
          <w14:textFill>
            <w14:solidFill>
              <w14:schemeClr w14:val="tx1"/>
            </w14:solidFill>
          </w14:textFill>
        </w:rPr>
        <w:t>★</w:t>
      </w:r>
      <w:r>
        <w:rPr>
          <w:rFonts w:hint="eastAsia" w:ascii="宋体" w:hAnsi="宋体" w:eastAsia="宋体" w:cs="宋体"/>
          <w:color w:val="000000" w:themeColor="text1"/>
          <w:szCs w:val="24"/>
          <w:lang w:val="en-US" w:eastAsia="zh-CN"/>
          <w14:textFill>
            <w14:solidFill>
              <w14:schemeClr w14:val="tx1"/>
            </w14:solidFill>
          </w14:textFill>
        </w:rPr>
        <w:t>二</w:t>
      </w:r>
      <w:r>
        <w:rPr>
          <w:rFonts w:hint="eastAsia" w:ascii="宋体" w:hAnsi="宋体" w:eastAsia="宋体" w:cs="宋体"/>
          <w:color w:val="000000" w:themeColor="text1"/>
          <w:sz w:val="24"/>
          <w:szCs w:val="24"/>
          <w14:textFill>
            <w14:solidFill>
              <w14:schemeClr w14:val="tx1"/>
            </w14:solidFill>
          </w14:textFill>
        </w:rPr>
        <w:t>、</w:t>
      </w:r>
      <w:r>
        <w:rPr>
          <w:rFonts w:ascii="宋体" w:hAnsi="宋体" w:eastAsia="宋体" w:cs="宋体"/>
          <w:color w:val="000000" w:themeColor="text1"/>
          <w:sz w:val="24"/>
          <w:szCs w:val="24"/>
          <w14:textFill>
            <w14:solidFill>
              <w14:schemeClr w14:val="tx1"/>
            </w14:solidFill>
          </w14:textFill>
        </w:rPr>
        <w:t>商务要求：</w:t>
      </w:r>
    </w:p>
    <w:p w14:paraId="7F4087B2">
      <w:pPr>
        <w:widowControl/>
        <w:numPr>
          <w:ilvl w:val="255"/>
          <w:numId w:val="0"/>
        </w:numPr>
        <w:spacing w:line="500" w:lineRule="exact"/>
        <w:ind w:firstLine="0" w:firstLineChars="0"/>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1.服务期限及地点</w:t>
      </w:r>
    </w:p>
    <w:p w14:paraId="78C1DC7D">
      <w:pPr>
        <w:keepNext w:val="0"/>
        <w:keepLines w:val="0"/>
        <w:pageBreakBefore w:val="0"/>
        <w:widowControl/>
        <w:numPr>
          <w:ilvl w:val="255"/>
          <w:numId w:val="0"/>
        </w:numPr>
        <w:kinsoku/>
        <w:wordWrap/>
        <w:overflowPunct/>
        <w:topLinePunct w:val="0"/>
        <w:autoSpaceDE/>
        <w:autoSpaceDN/>
        <w:bidi w:val="0"/>
        <w:adjustRightInd/>
        <w:snapToGrid/>
        <w:spacing w:line="500" w:lineRule="exact"/>
        <w:ind w:firstLine="240" w:firstLineChars="100"/>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1.1 服务时间：双方正式合同签署生效后至项目完成；</w:t>
      </w:r>
    </w:p>
    <w:p w14:paraId="4786E185">
      <w:pPr>
        <w:keepNext w:val="0"/>
        <w:keepLines w:val="0"/>
        <w:pageBreakBefore w:val="0"/>
        <w:widowControl/>
        <w:numPr>
          <w:ilvl w:val="255"/>
          <w:numId w:val="0"/>
        </w:numPr>
        <w:kinsoku/>
        <w:wordWrap/>
        <w:overflowPunct/>
        <w:topLinePunct w:val="0"/>
        <w:autoSpaceDE/>
        <w:autoSpaceDN/>
        <w:bidi w:val="0"/>
        <w:adjustRightInd/>
        <w:snapToGrid/>
        <w:spacing w:line="500" w:lineRule="exact"/>
        <w:ind w:firstLine="240" w:firstLineChars="100"/>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1.2 地点：采购人指定地点。</w:t>
      </w:r>
    </w:p>
    <w:p w14:paraId="247EDB82">
      <w:pPr>
        <w:widowControl/>
        <w:numPr>
          <w:ilvl w:val="255"/>
          <w:numId w:val="0"/>
        </w:numPr>
        <w:spacing w:line="500" w:lineRule="exact"/>
        <w:ind w:firstLine="0" w:firstLineChars="0"/>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2.付款方法：</w:t>
      </w:r>
    </w:p>
    <w:p w14:paraId="69931112">
      <w:pPr>
        <w:keepNext w:val="0"/>
        <w:keepLines w:val="0"/>
        <w:pageBreakBefore w:val="0"/>
        <w:widowControl/>
        <w:numPr>
          <w:ilvl w:val="255"/>
          <w:numId w:val="0"/>
        </w:numPr>
        <w:kinsoku/>
        <w:wordWrap/>
        <w:overflowPunct/>
        <w:topLinePunct w:val="0"/>
        <w:autoSpaceDE/>
        <w:autoSpaceDN/>
        <w:bidi w:val="0"/>
        <w:adjustRightInd/>
        <w:snapToGrid/>
        <w:spacing w:line="500" w:lineRule="exact"/>
        <w:ind w:firstLine="240" w:firstLineChars="100"/>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2.1付款方式：合同签订后，支付合同款30%；医院妇幼健康平台宣传片和围产期保健健康科普视频拍摄制作项目完成后，提交验收报告经相关科室确认后支付合同剩余金额。</w:t>
      </w:r>
    </w:p>
    <w:p w14:paraId="055833EC">
      <w:pPr>
        <w:keepNext w:val="0"/>
        <w:keepLines w:val="0"/>
        <w:pageBreakBefore w:val="0"/>
        <w:widowControl/>
        <w:numPr>
          <w:ilvl w:val="255"/>
          <w:numId w:val="0"/>
        </w:numPr>
        <w:kinsoku/>
        <w:wordWrap/>
        <w:overflowPunct/>
        <w:topLinePunct w:val="0"/>
        <w:autoSpaceDE/>
        <w:autoSpaceDN/>
        <w:bidi w:val="0"/>
        <w:adjustRightInd/>
        <w:snapToGrid/>
        <w:spacing w:line="500" w:lineRule="exact"/>
        <w:ind w:firstLine="240" w:firstLineChars="100"/>
        <w:textAlignment w:val="auto"/>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2.2付款条件：乙方须向甲方出具合法有效全额的完税发票及凭证资料进行支付结算。</w:t>
      </w:r>
    </w:p>
    <w:p w14:paraId="5C63F11F">
      <w:pPr>
        <w:widowControl/>
        <w:numPr>
          <w:ilvl w:val="255"/>
          <w:numId w:val="0"/>
        </w:numPr>
        <w:spacing w:line="500" w:lineRule="exact"/>
        <w:ind w:firstLine="240" w:firstLineChars="100"/>
        <w:rPr>
          <w:rFonts w:hint="eastAsia" w:ascii="宋体" w:hAnsi="宋体" w:eastAsia="宋体" w:cs="宋体"/>
          <w:color w:val="000000" w:themeColor="text1"/>
          <w:sz w:val="24"/>
          <w:szCs w:val="24"/>
          <w:highlight w:val="none"/>
          <w:lang w:val="en-US" w:eastAsia="zh-CN"/>
          <w14:textFill>
            <w14:solidFill>
              <w14:schemeClr w14:val="tx1"/>
            </w14:solidFill>
          </w14:textFill>
        </w:rPr>
      </w:pPr>
      <w:bookmarkStart w:id="0" w:name="_GoBack"/>
      <w:bookmarkEnd w:id="0"/>
      <w:r>
        <w:rPr>
          <w:rFonts w:hint="eastAsia" w:ascii="宋体" w:hAnsi="宋体" w:eastAsia="宋体" w:cs="宋体"/>
          <w:color w:val="000000" w:themeColor="text1"/>
          <w:sz w:val="24"/>
          <w:szCs w:val="24"/>
          <w:highlight w:val="none"/>
          <w:lang w:val="en-US" w:eastAsia="zh-CN"/>
          <w14:textFill>
            <w14:solidFill>
              <w14:schemeClr w14:val="tx1"/>
            </w14:solidFill>
          </w14:textFill>
        </w:rPr>
        <w:t>三、项目要求</w:t>
      </w:r>
    </w:p>
    <w:p w14:paraId="70868E09">
      <w:pPr>
        <w:widowControl/>
        <w:numPr>
          <w:ilvl w:val="255"/>
          <w:numId w:val="0"/>
        </w:numPr>
        <w:spacing w:line="500" w:lineRule="exact"/>
        <w:ind w:firstLine="0" w:firstLineChars="0"/>
        <w:rPr>
          <w:rFonts w:hint="eastAsia" w:ascii="宋体" w:hAnsi="宋体" w:eastAsia="宋体" w:cs="宋体"/>
          <w:b w:val="0"/>
          <w:bCs w:val="0"/>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b w:val="0"/>
          <w:bCs w:val="0"/>
          <w:color w:val="000000" w:themeColor="text1"/>
          <w:kern w:val="2"/>
          <w:sz w:val="24"/>
          <w:szCs w:val="24"/>
          <w:highlight w:val="none"/>
          <w:lang w:val="en-US" w:eastAsia="zh-CN" w:bidi="ar-SA"/>
          <w14:textFill>
            <w14:solidFill>
              <w14:schemeClr w14:val="tx1"/>
            </w14:solidFill>
          </w14:textFill>
        </w:rPr>
        <w:t>1.宣传片主题分别要求围绕医院妇幼健康平台的建设情况和围产期保健为主要内容，通过视听语言强有力的表现手段，突出妇幼健康平台特点和宣传围产期保健相关科普知识，其中至少包含宣传片（7-10分钟）2部和系列短片（2-5分钟）3部。</w:t>
      </w:r>
    </w:p>
    <w:p w14:paraId="0C757AC1">
      <w:pPr>
        <w:widowControl/>
        <w:numPr>
          <w:ilvl w:val="255"/>
          <w:numId w:val="0"/>
        </w:numPr>
        <w:spacing w:line="500" w:lineRule="exact"/>
        <w:ind w:firstLine="0" w:firstLineChars="0"/>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2.项目包含文案策划、拍摄、剪辑、配音、后期制作（片头、片尾、影片特效）等；要有完整的拍摄团队、制作团队（包含但不限于策划、制片、导演、摄影、灯光、化妆、道具、美术、场工等）和配套摄影摄像设备（包含但不限于不低于4k的摄像机、摇臂、轨道、升降、无人机、录音器材、影视灯光等），能够完全满足所有视频的拍摄制作需求。</w:t>
      </w:r>
    </w:p>
    <w:p w14:paraId="4E3AD0F6">
      <w:pPr>
        <w:widowControl/>
        <w:numPr>
          <w:ilvl w:val="255"/>
          <w:numId w:val="0"/>
        </w:numPr>
        <w:spacing w:line="500" w:lineRule="exact"/>
        <w:ind w:firstLine="0" w:firstLineChars="0"/>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3.成片分辨率不得低于4096×2160P（4k），可在电视、网络、移动终端、户外电子屏幕等媒介上发布传播。</w:t>
      </w:r>
    </w:p>
    <w:p w14:paraId="55276774">
      <w:pPr>
        <w:widowControl/>
        <w:numPr>
          <w:ilvl w:val="255"/>
          <w:numId w:val="0"/>
        </w:numPr>
        <w:spacing w:line="500" w:lineRule="exact"/>
        <w:ind w:firstLine="0" w:firstLineChars="0"/>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4.作品需具有创新性和艺术性，杜绝纯信息数据展示和说教，视听语言丰富，影片具有较大的传播力，深度契合龙泉驿区妇幼保健院的意图和需求。</w:t>
      </w:r>
    </w:p>
    <w:p w14:paraId="26341D42">
      <w:pPr>
        <w:widowControl/>
        <w:numPr>
          <w:ilvl w:val="255"/>
          <w:numId w:val="0"/>
        </w:numPr>
        <w:spacing w:line="500" w:lineRule="exact"/>
        <w:ind w:firstLine="0" w:firstLineChars="0"/>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5.中标人签订合同后，一个月内交成片，并且在两年内能够基于现有素材，提供视频修改（如视频全片整体结构有调整等）服务，定稿前提供细节修改，视频版权归医院所有，未经允许不得使用。</w:t>
      </w:r>
    </w:p>
    <w:p w14:paraId="471390C5">
      <w:pPr>
        <w:keepNext w:val="0"/>
        <w:keepLines w:val="0"/>
        <w:pageBreakBefore w:val="0"/>
        <w:widowControl/>
        <w:numPr>
          <w:ilvl w:val="-1"/>
          <w:numId w:val="0"/>
        </w:numPr>
        <w:kinsoku/>
        <w:wordWrap/>
        <w:overflowPunct/>
        <w:topLinePunct w:val="0"/>
        <w:autoSpaceDE/>
        <w:autoSpaceDN/>
        <w:bidi w:val="0"/>
        <w:adjustRightInd/>
        <w:snapToGrid/>
        <w:spacing w:before="0" w:line="500" w:lineRule="exact"/>
        <w:ind w:right="0" w:rightChars="0" w:firstLine="240" w:firstLineChars="10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p>
    <w:p w14:paraId="1D0A6649">
      <w:pPr>
        <w:keepNext w:val="0"/>
        <w:keepLines w:val="0"/>
        <w:pageBreakBefore w:val="0"/>
        <w:widowControl w:val="0"/>
        <w:numPr>
          <w:ilvl w:val="0"/>
          <w:numId w:val="0"/>
        </w:numPr>
        <w:kinsoku/>
        <w:wordWrap/>
        <w:overflowPunct/>
        <w:topLinePunct w:val="0"/>
        <w:autoSpaceDE/>
        <w:autoSpaceDN/>
        <w:bidi w:val="0"/>
        <w:adjustRightInd/>
        <w:snapToGrid/>
        <w:spacing w:before="0" w:line="500" w:lineRule="exact"/>
        <w:ind w:right="0" w:rightChars="0" w:firstLine="480" w:firstLineChars="20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p>
    <w:p w14:paraId="2D6C1DA9">
      <w:pPr>
        <w:keepNext w:val="0"/>
        <w:keepLines w:val="0"/>
        <w:pageBreakBefore w:val="0"/>
        <w:widowControl w:val="0"/>
        <w:numPr>
          <w:ilvl w:val="0"/>
          <w:numId w:val="0"/>
        </w:numPr>
        <w:kinsoku/>
        <w:wordWrap/>
        <w:overflowPunct/>
        <w:topLinePunct w:val="0"/>
        <w:autoSpaceDE/>
        <w:autoSpaceDN/>
        <w:bidi w:val="0"/>
        <w:adjustRightInd/>
        <w:snapToGrid/>
        <w:spacing w:before="0" w:line="500" w:lineRule="exact"/>
        <w:ind w:right="0" w:rightChars="0" w:firstLine="480" w:firstLineChars="20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p>
    <w:p w14:paraId="0471CE31">
      <w:pPr>
        <w:keepNext w:val="0"/>
        <w:keepLines w:val="0"/>
        <w:pageBreakBefore w:val="0"/>
        <w:widowControl w:val="0"/>
        <w:numPr>
          <w:ilvl w:val="0"/>
          <w:numId w:val="0"/>
        </w:numPr>
        <w:kinsoku/>
        <w:wordWrap/>
        <w:overflowPunct/>
        <w:topLinePunct w:val="0"/>
        <w:autoSpaceDE/>
        <w:autoSpaceDN/>
        <w:bidi w:val="0"/>
        <w:adjustRightInd/>
        <w:snapToGrid/>
        <w:spacing w:before="0" w:line="500" w:lineRule="exact"/>
        <w:ind w:right="0" w:rightChars="0" w:firstLine="480" w:firstLineChars="20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p>
    <w:p w14:paraId="2E90D809">
      <w:pPr>
        <w:pStyle w:val="2"/>
        <w:rPr>
          <w:rFonts w:hint="eastAsia" w:ascii="宋体" w:hAnsi="宋体" w:eastAsia="宋体" w:cs="宋体"/>
          <w:color w:val="000000" w:themeColor="text1"/>
          <w:sz w:val="24"/>
          <w:szCs w:val="24"/>
          <w:highlight w:val="none"/>
          <w:lang w:val="en-US" w:eastAsia="zh-CN"/>
          <w14:textFill>
            <w14:solidFill>
              <w14:schemeClr w14:val="tx1"/>
            </w14:solidFill>
          </w14:textFill>
        </w:rPr>
      </w:pPr>
    </w:p>
    <w:p w14:paraId="0610F8AF">
      <w:pPr>
        <w:rPr>
          <w:rFonts w:hint="eastAsia" w:ascii="宋体" w:hAnsi="宋体" w:eastAsia="宋体" w:cs="宋体"/>
          <w:color w:val="000000" w:themeColor="text1"/>
          <w:sz w:val="24"/>
          <w:szCs w:val="24"/>
          <w:highlight w:val="none"/>
          <w:lang w:val="en-US" w:eastAsia="zh-CN"/>
          <w14:textFill>
            <w14:solidFill>
              <w14:schemeClr w14:val="tx1"/>
            </w14:solidFill>
          </w14:textFill>
        </w:rPr>
      </w:pPr>
    </w:p>
    <w:p w14:paraId="5F41ACFA">
      <w:pPr>
        <w:pStyle w:val="2"/>
        <w:rPr>
          <w:rFonts w:hint="eastAsia" w:ascii="宋体" w:hAnsi="宋体" w:eastAsia="宋体" w:cs="宋体"/>
          <w:color w:val="000000" w:themeColor="text1"/>
          <w:sz w:val="24"/>
          <w:szCs w:val="24"/>
          <w:highlight w:val="none"/>
          <w:lang w:val="en-US" w:eastAsia="zh-CN"/>
          <w14:textFill>
            <w14:solidFill>
              <w14:schemeClr w14:val="tx1"/>
            </w14:solidFill>
          </w14:textFill>
        </w:rPr>
      </w:pPr>
    </w:p>
    <w:p w14:paraId="09DD6676">
      <w:pPr>
        <w:rPr>
          <w:rFonts w:hint="eastAsia" w:ascii="宋体" w:hAnsi="宋体" w:eastAsia="宋体" w:cs="宋体"/>
          <w:color w:val="000000" w:themeColor="text1"/>
          <w:sz w:val="24"/>
          <w:szCs w:val="24"/>
          <w:highlight w:val="none"/>
          <w:lang w:val="en-US" w:eastAsia="zh-CN"/>
          <w14:textFill>
            <w14:solidFill>
              <w14:schemeClr w14:val="tx1"/>
            </w14:solidFill>
          </w14:textFill>
        </w:rPr>
      </w:pPr>
    </w:p>
    <w:p w14:paraId="44494BDC">
      <w:pPr>
        <w:pStyle w:val="2"/>
        <w:rPr>
          <w:rFonts w:hint="eastAsia" w:ascii="宋体" w:hAnsi="宋体" w:eastAsia="宋体" w:cs="宋体"/>
          <w:color w:val="000000" w:themeColor="text1"/>
          <w:sz w:val="24"/>
          <w:szCs w:val="24"/>
          <w:highlight w:val="none"/>
          <w:lang w:val="en-US" w:eastAsia="zh-CN"/>
          <w14:textFill>
            <w14:solidFill>
              <w14:schemeClr w14:val="tx1"/>
            </w14:solidFill>
          </w14:textFill>
        </w:rPr>
      </w:pPr>
    </w:p>
    <w:p w14:paraId="67CA3ED5">
      <w:pPr>
        <w:rPr>
          <w:rFonts w:hint="eastAsia" w:ascii="宋体" w:hAnsi="宋体" w:eastAsia="宋体" w:cs="宋体"/>
          <w:color w:val="000000" w:themeColor="text1"/>
          <w:sz w:val="24"/>
          <w:szCs w:val="24"/>
          <w:highlight w:val="none"/>
          <w:lang w:val="en-US" w:eastAsia="zh-CN"/>
          <w14:textFill>
            <w14:solidFill>
              <w14:schemeClr w14:val="tx1"/>
            </w14:solidFill>
          </w14:textFill>
        </w:rPr>
      </w:pPr>
    </w:p>
    <w:p w14:paraId="030A606D">
      <w:pPr>
        <w:pStyle w:val="2"/>
        <w:rPr>
          <w:rFonts w:hint="eastAsia" w:ascii="宋体" w:hAnsi="宋体" w:eastAsia="宋体" w:cs="宋体"/>
          <w:color w:val="000000" w:themeColor="text1"/>
          <w:sz w:val="24"/>
          <w:szCs w:val="24"/>
          <w:highlight w:val="none"/>
          <w:lang w:val="en-US" w:eastAsia="zh-CN"/>
          <w14:textFill>
            <w14:solidFill>
              <w14:schemeClr w14:val="tx1"/>
            </w14:solidFill>
          </w14:textFill>
        </w:rPr>
      </w:pPr>
    </w:p>
    <w:p w14:paraId="3E5CA4FD">
      <w:pPr>
        <w:rPr>
          <w:rFonts w:hint="eastAsia" w:ascii="宋体" w:hAnsi="宋体" w:eastAsia="宋体" w:cs="宋体"/>
          <w:color w:val="000000" w:themeColor="text1"/>
          <w:sz w:val="24"/>
          <w:szCs w:val="24"/>
          <w:highlight w:val="none"/>
          <w:lang w:val="en-US" w:eastAsia="zh-CN"/>
          <w14:textFill>
            <w14:solidFill>
              <w14:schemeClr w14:val="tx1"/>
            </w14:solidFill>
          </w14:textFill>
        </w:rPr>
      </w:pPr>
    </w:p>
    <w:p w14:paraId="73EC0254">
      <w:pPr>
        <w:pStyle w:val="2"/>
        <w:rPr>
          <w:rFonts w:hint="eastAsia" w:ascii="宋体" w:hAnsi="宋体" w:eastAsia="宋体" w:cs="宋体"/>
          <w:color w:val="000000" w:themeColor="text1"/>
          <w:sz w:val="24"/>
          <w:szCs w:val="24"/>
          <w:highlight w:val="none"/>
          <w:lang w:val="en-US" w:eastAsia="zh-CN"/>
          <w14:textFill>
            <w14:solidFill>
              <w14:schemeClr w14:val="tx1"/>
            </w14:solidFill>
          </w14:textFill>
        </w:rPr>
      </w:pPr>
    </w:p>
    <w:p w14:paraId="74F81A79">
      <w:pPr>
        <w:rPr>
          <w:rFonts w:hint="eastAsia" w:ascii="宋体" w:hAnsi="宋体" w:eastAsia="宋体" w:cs="宋体"/>
          <w:color w:val="000000" w:themeColor="text1"/>
          <w:sz w:val="24"/>
          <w:szCs w:val="24"/>
          <w:highlight w:val="none"/>
          <w:lang w:val="en-US" w:eastAsia="zh-CN"/>
          <w14:textFill>
            <w14:solidFill>
              <w14:schemeClr w14:val="tx1"/>
            </w14:solidFill>
          </w14:textFill>
        </w:rPr>
      </w:pPr>
    </w:p>
    <w:p w14:paraId="7DDF8D69">
      <w:pPr>
        <w:pStyle w:val="2"/>
        <w:rPr>
          <w:rFonts w:hint="eastAsia" w:ascii="宋体" w:hAnsi="宋体" w:eastAsia="宋体" w:cs="宋体"/>
          <w:color w:val="000000" w:themeColor="text1"/>
          <w:sz w:val="24"/>
          <w:szCs w:val="24"/>
          <w:highlight w:val="none"/>
          <w:lang w:val="en-US" w:eastAsia="zh-CN"/>
          <w14:textFill>
            <w14:solidFill>
              <w14:schemeClr w14:val="tx1"/>
            </w14:solidFill>
          </w14:textFill>
        </w:rPr>
      </w:pPr>
    </w:p>
    <w:p w14:paraId="037C0E0D">
      <w:pPr>
        <w:rPr>
          <w:rFonts w:hint="eastAsia" w:ascii="宋体" w:hAnsi="宋体" w:eastAsia="宋体" w:cs="宋体"/>
          <w:color w:val="000000" w:themeColor="text1"/>
          <w:sz w:val="24"/>
          <w:szCs w:val="24"/>
          <w:highlight w:val="none"/>
          <w:lang w:val="en-US" w:eastAsia="zh-CN"/>
          <w14:textFill>
            <w14:solidFill>
              <w14:schemeClr w14:val="tx1"/>
            </w14:solidFill>
          </w14:textFill>
        </w:rPr>
      </w:pPr>
    </w:p>
    <w:p w14:paraId="2610AD00">
      <w:pPr>
        <w:pStyle w:val="2"/>
        <w:rPr>
          <w:rFonts w:hint="eastAsia" w:ascii="宋体" w:hAnsi="宋体" w:eastAsia="宋体" w:cs="宋体"/>
          <w:color w:val="000000" w:themeColor="text1"/>
          <w:sz w:val="24"/>
          <w:szCs w:val="24"/>
          <w:highlight w:val="none"/>
          <w:lang w:val="en-US" w:eastAsia="zh-CN"/>
          <w14:textFill>
            <w14:solidFill>
              <w14:schemeClr w14:val="tx1"/>
            </w14:solidFill>
          </w14:textFill>
        </w:rPr>
      </w:pPr>
    </w:p>
    <w:p w14:paraId="02C05719">
      <w:pPr>
        <w:rPr>
          <w:rFonts w:hint="eastAsia" w:ascii="宋体" w:hAnsi="宋体" w:eastAsia="宋体" w:cs="宋体"/>
          <w:color w:val="000000" w:themeColor="text1"/>
          <w:sz w:val="24"/>
          <w:szCs w:val="24"/>
          <w:highlight w:val="none"/>
          <w:lang w:val="en-US" w:eastAsia="zh-CN"/>
          <w14:textFill>
            <w14:solidFill>
              <w14:schemeClr w14:val="tx1"/>
            </w14:solidFill>
          </w14:textFill>
        </w:rPr>
      </w:pPr>
    </w:p>
    <w:p w14:paraId="25ED7B29"/>
    <w:sectPr>
      <w:pgSz w:w="11906" w:h="16838"/>
      <w:pgMar w:top="1417" w:right="1134" w:bottom="1417"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0"/>
    <w:family w:val="swiss"/>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F7E54D9"/>
    <w:rsid w:val="68B07650"/>
    <w:rsid w:val="7F7E54D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qFormat/>
    <w:uiPriority w:val="9"/>
    <w:pPr>
      <w:keepNext/>
      <w:keepLines/>
      <w:spacing w:before="260" w:after="260" w:line="415" w:lineRule="auto"/>
      <w:outlineLvl w:val="1"/>
    </w:pPr>
    <w:rPr>
      <w:rFonts w:ascii="Arial" w:hAnsi="Arial" w:eastAsia="黑体" w:cs="Times New Roman"/>
      <w:b/>
      <w:bCs/>
      <w:sz w:val="32"/>
      <w:szCs w:val="32"/>
    </w:rPr>
  </w:style>
  <w:style w:type="character" w:default="1" w:styleId="4">
    <w:name w:val="Default Paragraph Font"/>
    <w:semiHidden/>
    <w:qFormat/>
    <w:uiPriority w:val="0"/>
  </w:style>
  <w:style w:type="table" w:default="1" w:styleId="3">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0</TotalTime>
  <ScaleCrop>false</ScaleCrop>
  <LinksUpToDate>false</LinksUpToDate>
  <CharactersWithSpaces>0</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2025-05-27T03:06:00Z</dcterms:created>
  <dc:creator>邱玥</dc:creator>
  <cp:lastModifiedBy>邱玥</cp:lastModifiedBy>
  <dcterms:modified xsi:type="dcterms:W3CDTF">2025-05-27T03:10:12Z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82FCCE59B4CB47F5AFCEB2F06FDE05BB_11</vt:lpwstr>
  </property>
</Properties>
</file>