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B49611">
      <w:pPr>
        <w:jc w:val="left"/>
        <w:rPr>
          <w:rFonts w:hint="default" w:ascii="Times New Roman" w:hAnsi="Times New Roman" w:eastAsia="方正公文小标宋" w:cs="Times New Roman"/>
          <w:sz w:val="32"/>
          <w:szCs w:val="32"/>
          <w:highlight w:val="yellow"/>
          <w:lang w:val="en-US" w:eastAsia="zh-CN"/>
        </w:rPr>
      </w:pPr>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highlight w:val="none"/>
          <w14:textFill>
            <w14:solidFill>
              <w14:schemeClr w14:val="tx1"/>
            </w14:solidFill>
          </w14:textFill>
        </w:rPr>
        <w:t>综合评分明细表</w:t>
      </w:r>
    </w:p>
    <w:tbl>
      <w:tblPr>
        <w:tblStyle w:val="4"/>
        <w:tblW w:w="10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155"/>
        <w:gridCol w:w="675"/>
        <w:gridCol w:w="6705"/>
        <w:gridCol w:w="765"/>
      </w:tblGrid>
      <w:tr w14:paraId="7B5C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702" w:type="dxa"/>
            <w:vAlign w:val="center"/>
          </w:tcPr>
          <w:p w14:paraId="033BCAC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序号</w:t>
            </w:r>
          </w:p>
        </w:tc>
        <w:tc>
          <w:tcPr>
            <w:tcW w:w="1155" w:type="dxa"/>
            <w:vAlign w:val="center"/>
          </w:tcPr>
          <w:p w14:paraId="0C6FF90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kern w:val="2"/>
                <w:sz w:val="21"/>
                <w:szCs w:val="21"/>
                <w:highlight w:val="none"/>
                <w:lang w:bidi="ar"/>
              </w:rPr>
              <w:t>评分因素</w:t>
            </w:r>
            <w:r>
              <w:rPr>
                <w:rFonts w:hint="eastAsia" w:ascii="仿宋" w:hAnsi="仿宋" w:eastAsia="仿宋" w:cs="仿宋"/>
                <w:b/>
                <w:bCs/>
                <w:kern w:val="2"/>
                <w:sz w:val="21"/>
                <w:szCs w:val="21"/>
                <w:highlight w:val="none"/>
                <w:lang w:val="en-US" w:eastAsia="zh-CN" w:bidi="ar"/>
              </w:rPr>
              <w:t>及权重</w:t>
            </w:r>
          </w:p>
        </w:tc>
        <w:tc>
          <w:tcPr>
            <w:tcW w:w="675" w:type="dxa"/>
            <w:vAlign w:val="center"/>
          </w:tcPr>
          <w:p w14:paraId="0DDEA9CA">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分值</w:t>
            </w:r>
          </w:p>
        </w:tc>
        <w:tc>
          <w:tcPr>
            <w:tcW w:w="6705" w:type="dxa"/>
            <w:vAlign w:val="center"/>
          </w:tcPr>
          <w:p w14:paraId="1901D59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评分标准</w:t>
            </w:r>
          </w:p>
        </w:tc>
        <w:tc>
          <w:tcPr>
            <w:tcW w:w="765" w:type="dxa"/>
            <w:vAlign w:val="center"/>
          </w:tcPr>
          <w:p w14:paraId="669014F0">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备注</w:t>
            </w:r>
          </w:p>
        </w:tc>
      </w:tr>
      <w:tr w14:paraId="03DEF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vAlign w:val="center"/>
          </w:tcPr>
          <w:p w14:paraId="161312AD">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w:t>
            </w:r>
          </w:p>
        </w:tc>
        <w:tc>
          <w:tcPr>
            <w:tcW w:w="1155" w:type="dxa"/>
            <w:vAlign w:val="center"/>
          </w:tcPr>
          <w:p w14:paraId="7FAA8A76">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报价（15%）</w:t>
            </w:r>
          </w:p>
        </w:tc>
        <w:tc>
          <w:tcPr>
            <w:tcW w:w="675" w:type="dxa"/>
            <w:vAlign w:val="center"/>
          </w:tcPr>
          <w:p w14:paraId="4EEC4D11">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15分</w:t>
            </w:r>
          </w:p>
        </w:tc>
        <w:tc>
          <w:tcPr>
            <w:tcW w:w="6705" w:type="dxa"/>
            <w:vAlign w:val="center"/>
          </w:tcPr>
          <w:p w14:paraId="285C9C02">
            <w:pPr>
              <w:widowControl/>
              <w:numPr>
                <w:ilvl w:val="-1"/>
                <w:numId w:val="0"/>
              </w:numPr>
              <w:spacing w:beforeLines="-2147483648" w:afterLines="-2147483648" w:line="240" w:lineRule="auto"/>
              <w:jc w:val="left"/>
              <w:rPr>
                <w:rFonts w:hint="eastAsia"/>
                <w:lang w:eastAsia="zh-CN"/>
              </w:rPr>
            </w:pPr>
            <w:r>
              <w:rPr>
                <w:rFonts w:hint="eastAsia" w:ascii="仿宋" w:hAnsi="仿宋" w:eastAsia="仿宋" w:cs="仿宋"/>
                <w:sz w:val="21"/>
                <w:szCs w:val="21"/>
                <w:lang w:eastAsia="zh-CN"/>
              </w:rPr>
              <w:t>满足</w:t>
            </w:r>
            <w:r>
              <w:rPr>
                <w:rFonts w:hint="eastAsia" w:ascii="仿宋" w:hAnsi="仿宋" w:eastAsia="仿宋" w:cs="仿宋"/>
                <w:sz w:val="21"/>
                <w:szCs w:val="21"/>
                <w:lang w:val="en-US" w:eastAsia="zh-CN"/>
              </w:rPr>
              <w:t>招标</w:t>
            </w:r>
            <w:r>
              <w:rPr>
                <w:rFonts w:hint="eastAsia" w:ascii="仿宋" w:hAnsi="仿宋" w:eastAsia="仿宋" w:cs="仿宋"/>
                <w:sz w:val="21"/>
                <w:szCs w:val="21"/>
                <w:lang w:eastAsia="zh-CN"/>
              </w:rPr>
              <w:t>文件要求且</w:t>
            </w:r>
            <w:r>
              <w:rPr>
                <w:rFonts w:hint="eastAsia" w:ascii="仿宋" w:hAnsi="仿宋" w:eastAsia="仿宋" w:cs="仿宋"/>
                <w:sz w:val="21"/>
                <w:szCs w:val="21"/>
                <w:lang w:val="en-US" w:eastAsia="zh-CN"/>
              </w:rPr>
              <w:t>有效</w:t>
            </w:r>
            <w:r>
              <w:rPr>
                <w:rFonts w:hint="eastAsia" w:ascii="仿宋" w:hAnsi="仿宋" w:eastAsia="仿宋" w:cs="仿宋"/>
                <w:sz w:val="21"/>
                <w:szCs w:val="21"/>
                <w:lang w:eastAsia="zh-CN"/>
              </w:rPr>
              <w:t>响应价格最低的</w:t>
            </w:r>
            <w:r>
              <w:rPr>
                <w:rFonts w:hint="eastAsia" w:ascii="仿宋" w:hAnsi="仿宋" w:eastAsia="仿宋" w:cs="仿宋"/>
                <w:sz w:val="21"/>
                <w:szCs w:val="21"/>
                <w:lang w:val="en-US" w:eastAsia="zh-CN"/>
              </w:rPr>
              <w:t>供应商</w:t>
            </w:r>
            <w:r>
              <w:rPr>
                <w:rFonts w:hint="eastAsia" w:ascii="仿宋" w:hAnsi="仿宋" w:eastAsia="仿宋" w:cs="仿宋"/>
                <w:sz w:val="21"/>
                <w:szCs w:val="21"/>
                <w:lang w:eastAsia="zh-CN"/>
              </w:rPr>
              <w:t>响应报价为</w:t>
            </w:r>
            <w:r>
              <w:rPr>
                <w:rFonts w:hint="eastAsia" w:ascii="仿宋" w:hAnsi="仿宋" w:eastAsia="仿宋" w:cs="仿宋"/>
                <w:sz w:val="21"/>
                <w:szCs w:val="21"/>
                <w:lang w:val="en-US" w:eastAsia="zh-CN"/>
              </w:rPr>
              <w:t>评审</w:t>
            </w:r>
            <w:r>
              <w:rPr>
                <w:rFonts w:hint="eastAsia" w:ascii="仿宋" w:hAnsi="仿宋" w:eastAsia="仿宋" w:cs="仿宋"/>
                <w:sz w:val="21"/>
                <w:szCs w:val="21"/>
                <w:lang w:eastAsia="zh-CN"/>
              </w:rPr>
              <w:t>基准价，其价格分为满分。其他供应商的价格分统一按照下列公式计算：报价得分=（</w:t>
            </w:r>
            <w:r>
              <w:rPr>
                <w:rFonts w:hint="eastAsia" w:ascii="仿宋" w:hAnsi="仿宋" w:eastAsia="仿宋" w:cs="仿宋"/>
                <w:sz w:val="21"/>
                <w:szCs w:val="21"/>
                <w:lang w:val="en-US" w:eastAsia="zh-CN"/>
              </w:rPr>
              <w:t>评审</w:t>
            </w:r>
            <w:r>
              <w:rPr>
                <w:rFonts w:hint="eastAsia" w:ascii="仿宋" w:hAnsi="仿宋" w:eastAsia="仿宋" w:cs="仿宋"/>
                <w:sz w:val="21"/>
                <w:szCs w:val="21"/>
                <w:lang w:eastAsia="zh-CN"/>
              </w:rPr>
              <w:t>基准价／</w:t>
            </w:r>
            <w:r>
              <w:rPr>
                <w:rFonts w:hint="eastAsia" w:ascii="仿宋" w:hAnsi="仿宋" w:eastAsia="仿宋" w:cs="仿宋"/>
                <w:sz w:val="21"/>
                <w:szCs w:val="21"/>
                <w:lang w:val="en-US" w:eastAsia="zh-CN"/>
              </w:rPr>
              <w:t>响应</w:t>
            </w:r>
            <w:r>
              <w:rPr>
                <w:rFonts w:hint="eastAsia" w:ascii="仿宋" w:hAnsi="仿宋" w:eastAsia="仿宋" w:cs="仿宋"/>
                <w:sz w:val="21"/>
                <w:szCs w:val="21"/>
                <w:lang w:eastAsia="zh-CN"/>
              </w:rPr>
              <w:t>报价）*15%*100。</w:t>
            </w:r>
          </w:p>
        </w:tc>
        <w:tc>
          <w:tcPr>
            <w:tcW w:w="765" w:type="dxa"/>
          </w:tcPr>
          <w:p w14:paraId="4B16B66F">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2A5B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vAlign w:val="center"/>
          </w:tcPr>
          <w:p w14:paraId="6EE2662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2</w:t>
            </w:r>
          </w:p>
        </w:tc>
        <w:tc>
          <w:tcPr>
            <w:tcW w:w="1155" w:type="dxa"/>
            <w:vAlign w:val="center"/>
          </w:tcPr>
          <w:p w14:paraId="2E6E7132">
            <w:pPr>
              <w:widowControl/>
              <w:numPr>
                <w:ilvl w:val="-1"/>
                <w:numId w:val="0"/>
              </w:numPr>
              <w:spacing w:beforeLines="-2147483648" w:afterLines="-2147483648" w:line="240" w:lineRule="auto"/>
              <w:jc w:val="center"/>
              <w:rPr>
                <w:rFonts w:hint="eastAsia" w:ascii="仿宋" w:hAnsi="仿宋" w:eastAsia="仿宋" w:cs="仿宋"/>
                <w:sz w:val="21"/>
                <w:szCs w:val="21"/>
                <w:highlight w:val="none"/>
                <w:lang w:bidi="ar"/>
              </w:rPr>
            </w:pPr>
            <w:r>
              <w:rPr>
                <w:rFonts w:hint="eastAsia" w:ascii="仿宋" w:hAnsi="仿宋" w:eastAsia="仿宋" w:cs="仿宋"/>
                <w:sz w:val="21"/>
                <w:szCs w:val="21"/>
                <w:highlight w:val="none"/>
                <w:lang w:val="en-US" w:eastAsia="zh-CN" w:bidi="ar"/>
              </w:rPr>
              <w:t>项目</w:t>
            </w:r>
            <w:r>
              <w:rPr>
                <w:rFonts w:hint="eastAsia" w:ascii="仿宋" w:hAnsi="仿宋" w:eastAsia="仿宋" w:cs="仿宋"/>
                <w:sz w:val="21"/>
                <w:szCs w:val="21"/>
                <w:highlight w:val="none"/>
                <w:lang w:bidi="ar"/>
              </w:rPr>
              <w:t>要求响应</w:t>
            </w:r>
          </w:p>
          <w:p w14:paraId="6AFAB112">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bidi="ar"/>
              </w:rPr>
              <w:t>（45分）</w:t>
            </w:r>
          </w:p>
        </w:tc>
        <w:tc>
          <w:tcPr>
            <w:tcW w:w="675" w:type="dxa"/>
            <w:vAlign w:val="center"/>
          </w:tcPr>
          <w:p w14:paraId="063E4032">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45分</w:t>
            </w:r>
          </w:p>
        </w:tc>
        <w:tc>
          <w:tcPr>
            <w:tcW w:w="6705" w:type="dxa"/>
            <w:vAlign w:val="center"/>
          </w:tcPr>
          <w:p w14:paraId="3F43DBE8">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p>
          <w:p w14:paraId="110026F8">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1、投标人针对技术服务要求中一般技术服务要求条款的响应得分规则如下：</w:t>
            </w:r>
          </w:p>
          <w:p w14:paraId="27C2C1ED">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一般技术服务要求条款响应得分=（投标人满足技术服务要求条款的数量÷技术服务要求条款的总数量）×20分。（共51条，保留至小数点后2位）</w:t>
            </w:r>
          </w:p>
          <w:p w14:paraId="778FECA9">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2、投标人针对 “▲”技术服务要求条款</w:t>
            </w:r>
            <w:bookmarkStart w:id="0" w:name="_GoBack"/>
            <w:bookmarkEnd w:id="0"/>
            <w:r>
              <w:rPr>
                <w:rFonts w:hint="eastAsia" w:ascii="仿宋" w:hAnsi="仿宋" w:eastAsia="仿宋" w:cs="仿宋"/>
                <w:sz w:val="21"/>
                <w:szCs w:val="21"/>
                <w:lang w:eastAsia="zh-CN"/>
              </w:rPr>
              <w:t>的响应得分规则如下：</w:t>
            </w:r>
          </w:p>
          <w:p w14:paraId="4267DAF4">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“▲”技术服务要求条款响应得分=（投标人满足“▲”技术服务要求条款的数量÷“▲”技术服务要求条款的总数量）×25分。（共1</w:t>
            </w:r>
            <w:r>
              <w:rPr>
                <w:rFonts w:hint="eastAsia" w:ascii="仿宋" w:hAnsi="仿宋" w:eastAsia="仿宋" w:cs="仿宋"/>
                <w:sz w:val="21"/>
                <w:szCs w:val="21"/>
                <w:lang w:val="en-US" w:eastAsia="zh-CN"/>
              </w:rPr>
              <w:t>4</w:t>
            </w:r>
            <w:r>
              <w:rPr>
                <w:rFonts w:hint="eastAsia" w:ascii="仿宋" w:hAnsi="仿宋" w:eastAsia="仿宋" w:cs="仿宋"/>
                <w:sz w:val="21"/>
                <w:szCs w:val="21"/>
                <w:lang w:eastAsia="zh-CN"/>
              </w:rPr>
              <w:t>条，保留至小数点后2位）</w:t>
            </w:r>
          </w:p>
          <w:p w14:paraId="73D23DA7">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注：</w:t>
            </w:r>
          </w:p>
          <w:p w14:paraId="61D5273E">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★号条款为实质性要求，不参与本项评分。以一级序号阿拉伯数字（如 “1.”“2.”“3.”……）为一项，阿拉伯数字序号下有多级序号的，以最小级别序号为1项。</w:t>
            </w:r>
          </w:p>
          <w:p w14:paraId="6BA9EF53">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val="en-US" w:eastAsia="zh-CN" w:bidi="ar"/>
              </w:rPr>
            </w:pPr>
          </w:p>
        </w:tc>
        <w:tc>
          <w:tcPr>
            <w:tcW w:w="765" w:type="dxa"/>
          </w:tcPr>
          <w:p w14:paraId="34016503">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67F74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02" w:type="dxa"/>
            <w:vAlign w:val="center"/>
          </w:tcPr>
          <w:p w14:paraId="14570E8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3</w:t>
            </w:r>
          </w:p>
        </w:tc>
        <w:tc>
          <w:tcPr>
            <w:tcW w:w="1155" w:type="dxa"/>
            <w:vAlign w:val="center"/>
          </w:tcPr>
          <w:p w14:paraId="5C7958E9">
            <w:pPr>
              <w:widowControl/>
              <w:numPr>
                <w:ilvl w:val="-1"/>
                <w:numId w:val="0"/>
              </w:numPr>
              <w:spacing w:beforeLines="-2147483648" w:afterLines="-2147483648" w:line="240" w:lineRule="auto"/>
              <w:jc w:val="center"/>
              <w:rPr>
                <w:rFonts w:hint="eastAsia" w:ascii="仿宋" w:hAnsi="仿宋" w:eastAsia="仿宋" w:cs="仿宋"/>
                <w:sz w:val="21"/>
                <w:szCs w:val="21"/>
                <w:highlight w:val="none"/>
                <w:lang w:val="en-US" w:eastAsia="zh-CN" w:bidi="ar"/>
              </w:rPr>
            </w:pPr>
            <w:r>
              <w:rPr>
                <w:rFonts w:hint="eastAsia" w:ascii="仿宋" w:hAnsi="仿宋" w:eastAsia="仿宋" w:cs="仿宋"/>
                <w:sz w:val="21"/>
                <w:szCs w:val="21"/>
                <w:highlight w:val="none"/>
                <w:lang w:val="en-US" w:eastAsia="zh-CN" w:bidi="ar"/>
              </w:rPr>
              <w:t>业绩</w:t>
            </w:r>
          </w:p>
          <w:p w14:paraId="74C1BD6B">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val="en-US" w:eastAsia="zh-CN" w:bidi="ar"/>
              </w:rPr>
              <w:t>（8分）</w:t>
            </w:r>
          </w:p>
        </w:tc>
        <w:tc>
          <w:tcPr>
            <w:tcW w:w="675" w:type="dxa"/>
            <w:vAlign w:val="center"/>
          </w:tcPr>
          <w:p w14:paraId="5CFB13B3">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8分</w:t>
            </w:r>
          </w:p>
        </w:tc>
        <w:tc>
          <w:tcPr>
            <w:tcW w:w="6705" w:type="dxa"/>
          </w:tcPr>
          <w:p w14:paraId="2F9973E1">
            <w:pPr>
              <w:keepNext w:val="0"/>
              <w:keepLines w:val="0"/>
              <w:pageBreakBefore w:val="0"/>
              <w:widowControl/>
              <w:numPr>
                <w:ilvl w:val="-1"/>
                <w:numId w:val="0"/>
              </w:numPr>
              <w:kinsoku/>
              <w:wordWrap/>
              <w:overflowPunct/>
              <w:topLinePunct w:val="0"/>
              <w:autoSpaceDE/>
              <w:autoSpaceDN/>
              <w:bidi w:val="0"/>
              <w:adjustRightInd/>
              <w:snapToGrid/>
              <w:spacing w:beforeLines="-2147483648" w:after="100" w:afterLines="-2147483648" w:afterAutospacing="1" w:line="240" w:lineRule="auto"/>
              <w:jc w:val="left"/>
              <w:textAlignment w:val="auto"/>
              <w:rPr>
                <w:rFonts w:hint="eastAsia"/>
                <w:lang w:val="en-US" w:eastAsia="zh-CN"/>
              </w:rPr>
            </w:pPr>
            <w:r>
              <w:rPr>
                <w:rFonts w:hint="eastAsia" w:ascii="仿宋" w:hAnsi="仿宋" w:eastAsia="仿宋" w:cs="仿宋"/>
                <w:sz w:val="21"/>
                <w:szCs w:val="21"/>
                <w:highlight w:val="none"/>
                <w:vertAlign w:val="baseline"/>
                <w:lang w:eastAsia="zh-CN" w:bidi="ar"/>
              </w:rPr>
              <w:t>供应商提供自2022年</w:t>
            </w:r>
            <w:r>
              <w:rPr>
                <w:rFonts w:hint="eastAsia" w:ascii="仿宋" w:hAnsi="仿宋" w:eastAsia="仿宋" w:cs="仿宋"/>
                <w:sz w:val="21"/>
                <w:szCs w:val="21"/>
                <w:highlight w:val="none"/>
                <w:vertAlign w:val="baseline"/>
                <w:lang w:val="en-US" w:eastAsia="zh-CN" w:bidi="ar"/>
              </w:rPr>
              <w:t>1月1日</w:t>
            </w:r>
            <w:r>
              <w:rPr>
                <w:rFonts w:hint="eastAsia" w:ascii="仿宋" w:hAnsi="仿宋" w:eastAsia="仿宋" w:cs="仿宋"/>
                <w:sz w:val="21"/>
                <w:szCs w:val="21"/>
                <w:highlight w:val="none"/>
                <w:vertAlign w:val="baseline"/>
                <w:lang w:eastAsia="zh-CN" w:bidi="ar"/>
              </w:rPr>
              <w:t>以来完成过</w:t>
            </w:r>
            <w:r>
              <w:rPr>
                <w:rFonts w:hint="eastAsia" w:ascii="仿宋" w:hAnsi="仿宋" w:eastAsia="仿宋" w:cs="仿宋"/>
                <w:sz w:val="21"/>
                <w:szCs w:val="21"/>
                <w:highlight w:val="none"/>
                <w:vertAlign w:val="baseline"/>
                <w:lang w:val="en-US" w:eastAsia="zh-CN" w:bidi="ar"/>
              </w:rPr>
              <w:t>类似病案扫描项目业绩</w:t>
            </w:r>
            <w:r>
              <w:rPr>
                <w:rFonts w:hint="eastAsia" w:ascii="仿宋" w:hAnsi="仿宋" w:eastAsia="仿宋" w:cs="仿宋"/>
                <w:sz w:val="21"/>
                <w:szCs w:val="21"/>
                <w:highlight w:val="none"/>
                <w:vertAlign w:val="baseline"/>
                <w:lang w:eastAsia="zh-CN" w:bidi="ar"/>
              </w:rPr>
              <w:t>的，每</w:t>
            </w:r>
            <w:r>
              <w:rPr>
                <w:rFonts w:hint="eastAsia" w:ascii="仿宋" w:hAnsi="仿宋" w:eastAsia="仿宋" w:cs="仿宋"/>
                <w:sz w:val="21"/>
                <w:szCs w:val="21"/>
                <w:highlight w:val="none"/>
                <w:vertAlign w:val="baseline"/>
                <w:lang w:val="en-US" w:eastAsia="zh-CN" w:bidi="ar"/>
              </w:rPr>
              <w:t>提供1</w:t>
            </w:r>
            <w:r>
              <w:rPr>
                <w:rFonts w:hint="eastAsia" w:ascii="仿宋" w:hAnsi="仿宋" w:eastAsia="仿宋" w:cs="仿宋"/>
                <w:sz w:val="21"/>
                <w:szCs w:val="21"/>
                <w:highlight w:val="none"/>
                <w:vertAlign w:val="baseline"/>
                <w:lang w:eastAsia="zh-CN" w:bidi="ar"/>
              </w:rPr>
              <w:t>个得1分，最高得8分。（提供合同为完成过病案扫描项目的案例项目合同，提供项目合同复印件</w:t>
            </w:r>
            <w:r>
              <w:rPr>
                <w:rFonts w:hint="eastAsia" w:ascii="仿宋" w:hAnsi="仿宋" w:eastAsia="仿宋" w:cs="仿宋"/>
                <w:sz w:val="21"/>
                <w:szCs w:val="21"/>
                <w:highlight w:val="none"/>
                <w:vertAlign w:val="baseline"/>
                <w:lang w:val="en-US" w:eastAsia="zh-CN" w:bidi="ar"/>
              </w:rPr>
              <w:t>或中标（成交）通知书</w:t>
            </w:r>
            <w:r>
              <w:rPr>
                <w:rFonts w:hint="eastAsia" w:ascii="仿宋" w:hAnsi="仿宋" w:eastAsia="仿宋" w:cs="仿宋"/>
                <w:sz w:val="21"/>
                <w:szCs w:val="21"/>
                <w:highlight w:val="none"/>
                <w:vertAlign w:val="baseline"/>
                <w:lang w:eastAsia="zh-CN" w:bidi="ar"/>
              </w:rPr>
              <w:t>加盖供应商公章）</w:t>
            </w:r>
          </w:p>
        </w:tc>
        <w:tc>
          <w:tcPr>
            <w:tcW w:w="765" w:type="dxa"/>
          </w:tcPr>
          <w:p w14:paraId="042143EF">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2AC3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trPr>
        <w:tc>
          <w:tcPr>
            <w:tcW w:w="702" w:type="dxa"/>
            <w:vAlign w:val="center"/>
          </w:tcPr>
          <w:p w14:paraId="7C0C8CF3">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4</w:t>
            </w:r>
          </w:p>
        </w:tc>
        <w:tc>
          <w:tcPr>
            <w:tcW w:w="1155" w:type="dxa"/>
            <w:vAlign w:val="center"/>
          </w:tcPr>
          <w:p w14:paraId="7E9A499F">
            <w:pPr>
              <w:widowControl/>
              <w:numPr>
                <w:ilvl w:val="-1"/>
                <w:numId w:val="0"/>
              </w:numPr>
              <w:spacing w:beforeLines="-2147483648" w:afterLines="-2147483648" w:line="240" w:lineRule="auto"/>
              <w:jc w:val="center"/>
              <w:rPr>
                <w:rFonts w:hint="eastAsia" w:ascii="仿宋" w:hAnsi="仿宋" w:eastAsia="仿宋" w:cs="仿宋"/>
                <w:sz w:val="21"/>
                <w:szCs w:val="21"/>
              </w:rPr>
            </w:pPr>
            <w:r>
              <w:rPr>
                <w:rFonts w:hint="eastAsia" w:ascii="仿宋" w:hAnsi="仿宋" w:eastAsia="仿宋" w:cs="仿宋"/>
                <w:sz w:val="21"/>
                <w:szCs w:val="21"/>
              </w:rPr>
              <w:t>项目实施服务方案</w:t>
            </w:r>
          </w:p>
          <w:p w14:paraId="35399DBB">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rPr>
              <w:t>（20分）</w:t>
            </w:r>
          </w:p>
        </w:tc>
        <w:tc>
          <w:tcPr>
            <w:tcW w:w="675" w:type="dxa"/>
            <w:vAlign w:val="center"/>
          </w:tcPr>
          <w:p w14:paraId="3540E8C1">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20分</w:t>
            </w:r>
          </w:p>
        </w:tc>
        <w:tc>
          <w:tcPr>
            <w:tcW w:w="6705" w:type="dxa"/>
          </w:tcPr>
          <w:p w14:paraId="49CFC291">
            <w:pPr>
              <w:keepNext w:val="0"/>
              <w:keepLines w:val="0"/>
              <w:pageBreakBefore w:val="0"/>
              <w:widowControl/>
              <w:numPr>
                <w:ilvl w:val="-1"/>
                <w:numId w:val="0"/>
              </w:numPr>
              <w:kinsoku/>
              <w:wordWrap/>
              <w:overflowPunct/>
              <w:topLinePunct w:val="0"/>
              <w:autoSpaceDE/>
              <w:autoSpaceDN/>
              <w:bidi w:val="0"/>
              <w:adjustRightInd/>
              <w:snapToGrid/>
              <w:spacing w:beforeLines="-2147483648" w:after="100" w:afterLines="-2147483648" w:afterAutospacing="1" w:line="240" w:lineRule="auto"/>
              <w:jc w:val="left"/>
              <w:textAlignment w:val="auto"/>
              <w:rPr>
                <w:rFonts w:hint="eastAsia" w:ascii="仿宋" w:hAnsi="仿宋" w:eastAsia="仿宋" w:cs="仿宋"/>
                <w:i w:val="0"/>
                <w:iCs w:val="0"/>
                <w:caps w:val="0"/>
                <w:color w:val="404040"/>
                <w:spacing w:val="0"/>
                <w:sz w:val="21"/>
                <w:szCs w:val="21"/>
                <w:lang w:val="en-US" w:eastAsia="zh-CN"/>
              </w:rPr>
            </w:pPr>
            <w:r>
              <w:rPr>
                <w:rFonts w:hint="eastAsia" w:ascii="仿宋" w:hAnsi="仿宋" w:eastAsia="仿宋" w:cs="仿宋"/>
                <w:i w:val="0"/>
                <w:iCs w:val="0"/>
                <w:caps w:val="0"/>
                <w:color w:val="404040"/>
                <w:spacing w:val="0"/>
                <w:sz w:val="21"/>
                <w:szCs w:val="21"/>
                <w:lang w:val="en-US" w:eastAsia="zh-CN"/>
              </w:rPr>
              <w:t>根据供应商对本项目提供的服务方案进行评审，方案内容包括：①项目人员配置方案、②项目实施计划安排方案、③项目奖惩条例、④质量保证方案、⑤培训方案，得20分，每有一项内容缺失扣4分，每一项中存在内容缺陷扣1～4分，扣完为止。</w:t>
            </w:r>
          </w:p>
          <w:p w14:paraId="674A3473">
            <w:pPr>
              <w:pStyle w:val="2"/>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ascii="仿宋" w:hAnsi="仿宋" w:eastAsia="仿宋" w:cs="仿宋"/>
                <w:b w:val="0"/>
                <w:bCs w:val="0"/>
                <w:sz w:val="21"/>
                <w:szCs w:val="21"/>
                <w:highlight w:val="none"/>
                <w:vertAlign w:val="baseline"/>
                <w:lang w:eastAsia="zh-CN" w:bidi="ar"/>
              </w:rPr>
              <w:t>缺陷是指：内容与实际情况不符、内容与项目无关、内容表述错误、内容前后表述矛盾、内容与项目不匹配、项目信息错误、不符合本项目涉及的相关规范或标准要求的任意一种情形。</w:t>
            </w:r>
          </w:p>
        </w:tc>
        <w:tc>
          <w:tcPr>
            <w:tcW w:w="765" w:type="dxa"/>
          </w:tcPr>
          <w:p w14:paraId="788DB9F7">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0C535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702" w:type="dxa"/>
            <w:vAlign w:val="center"/>
          </w:tcPr>
          <w:p w14:paraId="5FBE85A3">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5</w:t>
            </w:r>
          </w:p>
        </w:tc>
        <w:tc>
          <w:tcPr>
            <w:tcW w:w="1155" w:type="dxa"/>
            <w:vAlign w:val="center"/>
          </w:tcPr>
          <w:p w14:paraId="33894705">
            <w:pPr>
              <w:widowControl/>
              <w:numPr>
                <w:ilvl w:val="-1"/>
                <w:numId w:val="0"/>
              </w:numPr>
              <w:spacing w:beforeLines="-2147483648" w:afterLines="-2147483648" w:line="240" w:lineRule="auto"/>
              <w:jc w:val="center"/>
              <w:rPr>
                <w:rFonts w:hint="eastAsia" w:ascii="仿宋" w:hAnsi="仿宋" w:eastAsia="仿宋" w:cs="仿宋"/>
                <w:sz w:val="21"/>
                <w:szCs w:val="21"/>
                <w:highlight w:val="none"/>
                <w:lang w:bidi="ar"/>
              </w:rPr>
            </w:pPr>
            <w:r>
              <w:rPr>
                <w:rFonts w:hint="eastAsia" w:ascii="仿宋" w:hAnsi="仿宋" w:eastAsia="仿宋" w:cs="仿宋"/>
                <w:sz w:val="21"/>
                <w:szCs w:val="21"/>
                <w:highlight w:val="none"/>
                <w:lang w:bidi="ar"/>
              </w:rPr>
              <w:t>售后服务方案</w:t>
            </w:r>
          </w:p>
          <w:p w14:paraId="6EFD867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bidi="ar"/>
              </w:rPr>
              <w:t>（12</w:t>
            </w:r>
            <w:r>
              <w:rPr>
                <w:rFonts w:hint="eastAsia" w:ascii="仿宋" w:hAnsi="仿宋" w:eastAsia="仿宋" w:cs="仿宋"/>
                <w:sz w:val="21"/>
                <w:szCs w:val="21"/>
                <w:highlight w:val="none"/>
                <w:vertAlign w:val="baseline"/>
                <w:lang w:val="en-US" w:eastAsia="zh-CN" w:bidi="ar"/>
              </w:rPr>
              <w:t>%</w:t>
            </w:r>
            <w:r>
              <w:rPr>
                <w:rFonts w:hint="eastAsia" w:ascii="仿宋" w:hAnsi="仿宋" w:eastAsia="仿宋" w:cs="仿宋"/>
                <w:sz w:val="21"/>
                <w:szCs w:val="21"/>
                <w:highlight w:val="none"/>
                <w:lang w:bidi="ar"/>
              </w:rPr>
              <w:t>）</w:t>
            </w:r>
          </w:p>
        </w:tc>
        <w:tc>
          <w:tcPr>
            <w:tcW w:w="675" w:type="dxa"/>
            <w:vAlign w:val="center"/>
          </w:tcPr>
          <w:p w14:paraId="5F266813">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12分</w:t>
            </w:r>
          </w:p>
        </w:tc>
        <w:tc>
          <w:tcPr>
            <w:tcW w:w="6705" w:type="dxa"/>
          </w:tcPr>
          <w:p w14:paraId="143A984E">
            <w:pPr>
              <w:pageBreakBefore w:val="0"/>
              <w:widowControl/>
              <w:numPr>
                <w:ilvl w:val="-1"/>
                <w:numId w:val="0"/>
              </w:numPr>
              <w:kinsoku/>
              <w:wordWrap/>
              <w:overflowPunct/>
              <w:topLinePunct w:val="0"/>
              <w:autoSpaceDE/>
              <w:autoSpaceDN/>
              <w:bidi w:val="0"/>
              <w:adjustRightInd/>
              <w:snapToGrid/>
              <w:spacing w:beforeLines="-2147483648" w:after="100" w:afterLines="-2147483648" w:afterAutospacing="1" w:line="240" w:lineRule="auto"/>
              <w:jc w:val="left"/>
              <w:textAlignment w:val="auto"/>
              <w:rPr>
                <w:rFonts w:hint="default"/>
                <w:lang w:val="en-US" w:eastAsia="zh-CN"/>
              </w:rPr>
            </w:pPr>
            <w:r>
              <w:rPr>
                <w:rFonts w:hint="eastAsia" w:ascii="仿宋" w:hAnsi="仿宋" w:eastAsia="仿宋" w:cs="仿宋"/>
                <w:kern w:val="2"/>
                <w:sz w:val="21"/>
                <w:szCs w:val="21"/>
                <w:lang w:eastAsia="zh-CN"/>
              </w:rPr>
              <w:t xml:space="preserve">根据供应商提供的售后服务方案进行评审，方案内容包括：①售后服务流程；②应急预案；③售后服务质量保障方案；④售后服务人员配置，以上方案内容齐全的得12分，每有一项内容缺失扣3分，每有一项存在内容缺陷扣1～3分，扣完为止。 </w:t>
            </w:r>
            <w:r>
              <w:rPr>
                <w:rFonts w:hint="eastAsia" w:ascii="仿宋" w:hAnsi="仿宋" w:eastAsia="仿宋" w:cs="仿宋"/>
                <w:kern w:val="2"/>
                <w:sz w:val="21"/>
                <w:szCs w:val="21"/>
                <w:lang w:val="en-US" w:eastAsia="zh-CN"/>
              </w:rPr>
              <w:t xml:space="preserve">                       </w:t>
            </w:r>
          </w:p>
          <w:p w14:paraId="310250FA">
            <w:pPr>
              <w:pageBreakBefore w:val="0"/>
              <w:widowControl/>
              <w:numPr>
                <w:ilvl w:val="-1"/>
                <w:numId w:val="0"/>
              </w:numPr>
              <w:kinsoku/>
              <w:wordWrap/>
              <w:overflowPunct/>
              <w:topLinePunct w:val="0"/>
              <w:autoSpaceDE/>
              <w:autoSpaceDN/>
              <w:bidi w:val="0"/>
              <w:adjustRightInd/>
              <w:snapToGrid/>
              <w:spacing w:beforeLines="-2147483648" w:after="100" w:afterLines="-2147483648" w:afterAutospacing="1" w:line="240" w:lineRule="auto"/>
              <w:jc w:val="left"/>
              <w:textAlignment w:val="auto"/>
              <w:rPr>
                <w:rFonts w:hint="eastAsia" w:ascii="仿宋" w:hAnsi="仿宋" w:eastAsia="仿宋" w:cs="仿宋"/>
                <w:sz w:val="21"/>
                <w:szCs w:val="21"/>
                <w:lang w:eastAsia="zh-CN"/>
              </w:rPr>
            </w:pPr>
            <w:r>
              <w:rPr>
                <w:rFonts w:hint="eastAsia" w:ascii="仿宋" w:hAnsi="仿宋" w:eastAsia="仿宋" w:cs="仿宋"/>
                <w:b w:val="0"/>
                <w:bCs w:val="0"/>
                <w:sz w:val="21"/>
                <w:szCs w:val="21"/>
                <w:highlight w:val="none"/>
                <w:vertAlign w:val="baseline"/>
                <w:lang w:eastAsia="zh-CN" w:bidi="ar"/>
              </w:rPr>
              <w:t>缺陷是指：内容与实际情况不符、内容与项目无关、内容表述错误、内容前后表述矛盾、内容与项目不匹配、项目信息错误、不符合本项目涉及的相关规范或标准要求的任意一种情形。</w:t>
            </w:r>
          </w:p>
        </w:tc>
        <w:tc>
          <w:tcPr>
            <w:tcW w:w="765" w:type="dxa"/>
          </w:tcPr>
          <w:p w14:paraId="020AD100">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bl>
    <w:p w14:paraId="1749F846"/>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altName w:val="宋体"/>
    <w:panose1 w:val="02000500000000000000"/>
    <w:charset w:val="86"/>
    <w:family w:val="auto"/>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DE5F73"/>
    <w:rsid w:val="39DE5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2025-08-19T06:18:00Z</dcterms:created>
  <dc:creator>邱玥</dc:creator>
  <cp:lastModifiedBy>邱玥</cp:lastModifiedBy>
  <dcterms:modified xsi:type="dcterms:W3CDTF">2025-08-19T06:18:37Z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6F3B736D0CCE4E50BE788A7C45EEF58D_11</vt:lpwstr>
  </property>
  <property fmtid="{D5CDD505-2E9C-101B-9397-08002B2CF9AE}" pid="4" name="KSOTemplateDocerSaveRecord">
    <vt:lpwstr>eyJoZGlkIjoiN2M2MjlkYjNmNmFjZDMwZDk4ODY1Yzg4N2I5NTM0OGEiLCJ1c2VySWQiOiIyMDIzNzE1ODQifQ==</vt:lpwstr>
  </property>
</Properties>
</file>