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5321C9">
      <w:pPr>
        <w:keepNext w:val="0"/>
        <w:keepLines w:val="0"/>
        <w:pageBreakBefore w:val="0"/>
        <w:widowControl/>
        <w:kinsoku/>
        <w:wordWrap/>
        <w:overflowPunct/>
        <w:topLinePunct w:val="0"/>
        <w:autoSpaceDE/>
        <w:autoSpaceDN/>
        <w:bidi w:val="0"/>
        <w:adjustRightInd/>
        <w:snapToGrid/>
        <w:spacing w:line="240" w:lineRule="auto"/>
        <w:jc w:val="left"/>
        <w:textAlignment w:val="auto"/>
        <w:outlineLvl w:val="9"/>
        <w:rPr>
          <w:rFonts w:hint="eastAsia" w:ascii="黑体" w:hAnsi="黑体" w:eastAsia="黑体" w:cs="黑体"/>
          <w:b/>
          <w:bCs/>
          <w:kern w:val="0"/>
          <w:sz w:val="32"/>
          <w:szCs w:val="32"/>
          <w:highlight w:val="none"/>
          <w:lang w:val="en-US" w:eastAsia="zh-CN" w:bidi="ar-SA"/>
        </w:rPr>
      </w:pPr>
      <w:r>
        <w:rPr>
          <w:rFonts w:hint="eastAsia" w:ascii="黑体" w:hAnsi="黑体" w:eastAsia="黑体" w:cs="黑体"/>
          <w:b/>
          <w:bCs/>
          <w:kern w:val="0"/>
          <w:sz w:val="32"/>
          <w:szCs w:val="32"/>
          <w:highlight w:val="none"/>
          <w:lang w:val="en-US" w:eastAsia="zh-CN" w:bidi="ar-SA"/>
        </w:rPr>
        <w:t>附件一、项目需求</w:t>
      </w:r>
    </w:p>
    <w:p w14:paraId="43EFA5E8">
      <w:pPr>
        <w:spacing w:line="500" w:lineRule="exact"/>
        <w:rPr>
          <w:rFonts w:hint="eastAsia"/>
          <w:color w:val="000000" w:themeColor="text1"/>
          <w14:textFill>
            <w14:solidFill>
              <w14:schemeClr w14:val="tx1"/>
            </w14:solidFill>
          </w14:textFill>
        </w:rPr>
      </w:pP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本章中标注“</w:t>
      </w:r>
      <w:r>
        <w:rPr>
          <w:rFonts w:hint="eastAsia" w:ascii="宋体" w:hAnsi="宋体" w:eastAsia="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”的条款为本项目的实质性条款，投标人不满足的，将按照无效投标处理。</w:t>
      </w: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p>
    <w:p w14:paraId="026EA87E">
      <w:pPr>
        <w:keepNext w:val="0"/>
        <w:keepLines w:val="0"/>
        <w:pageBreakBefore w:val="0"/>
        <w:widowControl w:val="0"/>
        <w:numPr>
          <w:ilvl w:val="0"/>
          <w:numId w:val="1"/>
        </w:numPr>
        <w:kinsoku/>
        <w:wordWrap/>
        <w:overflowPunct/>
        <w:topLinePunct w:val="0"/>
        <w:autoSpaceDE/>
        <w:autoSpaceDN/>
        <w:bidi w:val="0"/>
        <w:adjustRightInd/>
        <w:snapToGrid/>
        <w:spacing w:before="0" w:line="500" w:lineRule="exact"/>
        <w:ind w:right="0" w:rightChars="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项目概述</w:t>
      </w:r>
      <w:bookmarkStart w:id="0" w:name="_GoBack"/>
      <w:bookmarkEnd w:id="0"/>
    </w:p>
    <w:p w14:paraId="483DFF4A">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按照加工服务要求及采购人要求将纸质病案通过扫描、翻拍的方式转化为数字化病案，通过病案号、住院号、姓名等信息对数字化病案进行关联，可通过首页相关信息对数字化病案进行查阅、打印、医生端查阅等，并提供病案数字化管理系统软件及相关配套设备、技术支持与售后服务。</w:t>
      </w:r>
    </w:p>
    <w:p w14:paraId="2B0BBF45">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Cs w:val="24"/>
          <w14:textFill>
            <w14:solidFill>
              <w14:schemeClr w14:val="tx1"/>
            </w14:solidFill>
          </w14:textFill>
        </w:rPr>
        <w:t>★</w:t>
      </w:r>
      <w:r>
        <w:rPr>
          <w:rFonts w:hint="eastAsia" w:ascii="宋体" w:hAnsi="宋体" w:eastAsia="宋体" w:cs="宋体"/>
          <w:color w:val="000000" w:themeColor="text1"/>
          <w:szCs w:val="24"/>
          <w:lang w:val="en-US" w:eastAsia="zh-CN"/>
          <w14:textFill>
            <w14:solidFill>
              <w14:schemeClr w14:val="tx1"/>
            </w14:solidFill>
          </w14:textFill>
        </w:rPr>
        <w:t>二</w:t>
      </w:r>
      <w:r>
        <w:rPr>
          <w:rFonts w:hint="eastAsia" w:ascii="宋体" w:hAnsi="宋体" w:eastAsia="宋体" w:cs="宋体"/>
          <w:color w:val="000000" w:themeColor="text1"/>
          <w:sz w:val="24"/>
          <w:szCs w:val="24"/>
          <w14:textFill>
            <w14:solidFill>
              <w14:schemeClr w14:val="tx1"/>
            </w14:solidFill>
          </w14:textFill>
        </w:rPr>
        <w:t>、</w:t>
      </w:r>
      <w:r>
        <w:rPr>
          <w:rFonts w:ascii="宋体" w:hAnsi="宋体" w:eastAsia="宋体" w:cs="宋体"/>
          <w:color w:val="000000" w:themeColor="text1"/>
          <w:sz w:val="24"/>
          <w:szCs w:val="24"/>
          <w14:textFill>
            <w14:solidFill>
              <w14:schemeClr w14:val="tx1"/>
            </w14:solidFill>
          </w14:textFill>
        </w:rPr>
        <w:t>商务要求</w:t>
      </w:r>
    </w:p>
    <w:p w14:paraId="4D995DC8">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1.履约地点：采购人指定地点</w:t>
      </w:r>
    </w:p>
    <w:p w14:paraId="7BFBCA04">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2.付款方式</w:t>
      </w:r>
    </w:p>
    <w:p w14:paraId="3D306EF8">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项目服务费用按照服务进度进行支付，以实际翻拍页数据实结算。签订合同后，供应商每翻拍满半年，向采购人申请验收，验收合格，采购人收到供应商出具的正规发票后据实结算。服务期内支付费用不超过项目预算金额。若采购人验收不合格，供应商应在10个工作日的纠正期内完成纠正工作，并由采购人再次验收直至验收合格后支付相应款项。</w:t>
      </w:r>
    </w:p>
    <w:p w14:paraId="4EF25728">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3.验收</w:t>
      </w:r>
    </w:p>
    <w:p w14:paraId="2C5A2876">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600" w:firstLineChars="25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3.1采购人随机抽查一定数量的病案图像和纸质病案，项目实施前、中、后期随机抽查，并与纸质病案对照，核实数量及质量，验收合格后10日内采购人出具验收报告。</w:t>
      </w:r>
    </w:p>
    <w:p w14:paraId="7C06153C">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600" w:firstLineChars="25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3.2验收标准：</w:t>
      </w:r>
    </w:p>
    <w:p w14:paraId="6D1B7943">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720" w:firstLineChars="3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3.2.1数字化病案图像是否与纸质病案完全一致。</w:t>
      </w:r>
    </w:p>
    <w:p w14:paraId="0D5105BE">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720" w:firstLineChars="3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3.2.2数字化病案图像格式和清晰度符合参数要求。</w:t>
      </w:r>
    </w:p>
    <w:p w14:paraId="2CB07AF5">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720" w:firstLineChars="3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3.2.3数字化病案的文件命名是否合乎标准，是否已分段。</w:t>
      </w:r>
    </w:p>
    <w:p w14:paraId="04CA474B">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720" w:firstLineChars="3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3.2.4合格率：依据“纸质档案数字化技术标准（中华人民共和国档案行业标准DA/T31-2005）”，数字化转换质量抽检的合格率应≧95%。</w:t>
      </w:r>
    </w:p>
    <w:p w14:paraId="2AF8E7BD">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720" w:firstLineChars="3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3.2.5差错率：数字化病案的图像清晰、无歪斜、打印清晰，每幅图像均有属性标注，病案索引数据与病案图像对应完全正确，差错率不得超过3‰。</w:t>
      </w:r>
    </w:p>
    <w:p w14:paraId="52AC2AC5">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600" w:firstLineChars="25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3.3采购人质控中发现翻拍问题，一份扣50元。</w:t>
      </w:r>
    </w:p>
    <w:p w14:paraId="7ADF4436">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600" w:firstLineChars="25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3.4若验收时，数字化转换质量抽检的合格率或病案索引数据与病案图像差错率未达到验收标准，扣除5000元，且供应商需重新处理有缺陷的数字化病历，采购人将重新随机抽查验收。</w:t>
      </w:r>
    </w:p>
    <w:p w14:paraId="663C55FA">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600" w:firstLineChars="25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3.5验收相关费用：采购人负责组织履行验收工作，对于首次验收不合格发生的检验检测费、劳务报酬等费用支出，由过错方承担。在验收期间，供应商的交通、住宿、保险等费用自理。</w:t>
      </w:r>
    </w:p>
    <w:p w14:paraId="45E12794">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4.质量保证及售后服务：</w:t>
      </w:r>
    </w:p>
    <w:p w14:paraId="30628E9C">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600" w:firstLineChars="25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4.1任何时候，供应商均不能免除因系统本身的缺陷所应承担的责任。</w:t>
      </w:r>
    </w:p>
    <w:p w14:paraId="7B510454">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600" w:firstLineChars="25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4.2软件维护：服务质保期从验收合格之日起不低于一年，服务期内，供应商需免费负责系统运维及升级服务。</w:t>
      </w:r>
    </w:p>
    <w:p w14:paraId="4413C85C">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600" w:firstLineChars="25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4.3接到故障通知后，2小时内作出处理方案，如2小时内无法电话解决故障，维修人员必须在8小时之内到达现场（含节假日），由此产生的费用均不再收取。</w:t>
      </w:r>
    </w:p>
    <w:p w14:paraId="0706F59E">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5.培训：供应商需派专业技术人员对采购人的技术人员进行系统运行、配置、维护培训，对采购人的使用人员进行操作培训。</w:t>
      </w:r>
    </w:p>
    <w:p w14:paraId="126D4AE6">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三、项目要求</w:t>
      </w:r>
    </w:p>
    <w:p w14:paraId="57EC8E18">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1.总体要求</w:t>
      </w:r>
    </w:p>
    <w:p w14:paraId="539EC6F3">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▲1.1完成纸质病案及出生证资料数字化处理，形成数码图像，并负责对后续产生的原始纸质病案定期处理，对于病案修正页需扫描替换，根据医院需求调整制作进度，总数量以实际制作数量为准。</w:t>
      </w:r>
    </w:p>
    <w:p w14:paraId="5491862A">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▲1.2 图像清晰、不失真，数字化图像尺寸为2048×1536及以上，需同时提供彩色图像和黑白图像。（供应商须提供承诺函并加盖供应商公章）</w:t>
      </w:r>
    </w:p>
    <w:p w14:paraId="2FF847FB">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1.3 服务过程中保证病案的完整性，不得丢失、泄密、破坏、污损，供应商需承担由病案数字化制作所引发的搬运、拆装、分类、编码和归档等工作。</w:t>
      </w:r>
    </w:p>
    <w:p w14:paraId="17501185">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▲1.4 完成本项目服务内容所涉及的所有设备及系统软件由供应商提供，服务期满后所提供的系统软件采购人享有永久使用权，费用包含在总报价中。</w:t>
      </w:r>
    </w:p>
    <w:p w14:paraId="1FB8DBF9">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1.5 原始纸质病案需编号装箱保存，定位管理，便于对原始纸质病案的快速查找。</w:t>
      </w:r>
    </w:p>
    <w:p w14:paraId="05649293">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577624A8">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367AADC8">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2.加工要求</w:t>
      </w:r>
    </w:p>
    <w:p w14:paraId="514B618D">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360" w:firstLineChars="15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2.1制作地点与病案保存地由采购人指定，供应商负责制作、拆装、分类包装陈列，相关费用包含在本项目报价中。（本次病案数字化管理服务所需相关硬件设备及耗材、办公家具、办公用品均由供应商提供。）</w:t>
      </w:r>
    </w:p>
    <w:p w14:paraId="04A58211">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360" w:firstLineChars="15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2.2 病案质量：按照加工设备技术指标要求确保在扫描过程中不对病案原件造成二次损伤，不能损坏病案纸张和打乱病案顺序，非原件残损，不能出现扫描造成的图像残损。</w:t>
      </w:r>
    </w:p>
    <w:p w14:paraId="3E844E22">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360" w:firstLineChars="15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2.3 病案拆卷：扫描之前，应在保证病案不受损的情况下，拆除装订物，如有缺页、倒页、漏号、重号、错号等整理不规范现象，根据用户方要求进行修改，并做出标识和登记；对破损、折皱不平影响扫描质量的原件先进行相应处理（压平或熨平等），确保病案数字化质量。</w:t>
      </w:r>
    </w:p>
    <w:p w14:paraId="0D549711">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360" w:firstLineChars="15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2.4 页面修整记录：对病案整理过程中发现严重破损、字迹褪变无法直接进行扫描的病案和折皱不平影响扫描质量的原件进行记录。</w:t>
      </w:r>
    </w:p>
    <w:p w14:paraId="0145FA70">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360" w:firstLineChars="15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2.5 病案组卷：在数据验收合格后，将拆除过装订物的病案按原病案保管单位重新装订，并保持病案原有排列顺序不变（个别需调整页码的除外），病案不掉页、漏页、右边和底边整齐。</w:t>
      </w:r>
    </w:p>
    <w:p w14:paraId="006B0C8C">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360" w:firstLineChars="15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2.6 对扫描的图像去除污点、黑边等，进行逐页纠偏、裁边等处理，图像纠偏以视觉上不感觉偏斜为标准。</w:t>
      </w:r>
    </w:p>
    <w:p w14:paraId="28F137EA">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360" w:firstLineChars="15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2.7 图像在100%显示状态下，图像内容字迹不断笔画且内容与原资料一致、并要保证图像的正常阅览。</w:t>
      </w:r>
    </w:p>
    <w:p w14:paraId="1820C914">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360" w:firstLineChars="15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2.8 病案原件存在斑迹变质、颜色过浅、过深或深浅不一致时，应做到病案原件能辨认的，扫描图像必须可以辨认；文字上的污点无法去污时，保证正文文字和数字能看清楚。图像深浅不一：采用平衡功能，调整图像深浅一致。</w:t>
      </w:r>
    </w:p>
    <w:p w14:paraId="54EB7CE5">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3、软件功能</w:t>
      </w:r>
    </w:p>
    <w:p w14:paraId="2A65212F">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3.1 系统符合各级卫生行政主管部门要求的各种标准和规范，系统符合电子病历系统应用水平分级评价标准，符合医院实际需求。</w:t>
      </w:r>
    </w:p>
    <w:p w14:paraId="6DEBB2B7">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▲3.2 系统采用开放性设计，能根据医院实际需求进行应用系统的功能重组、二次开发。</w:t>
      </w:r>
    </w:p>
    <w:p w14:paraId="08633C52">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3.3 病案检索具备单一和组合模式，可按医院需求检索所需病案。</w:t>
      </w:r>
    </w:p>
    <w:p w14:paraId="4B535C31">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3.4 阅读显示病案图像具有水印，能防范数码相机偷拍。屏蔽非法拷贝病案，具有彩色和黑白阅读打印功能。同一张病案，按病案的原有色彩进行保存；在打印时能自动按指定色彩自动转化按黑白或彩色打印；减少存储空间的占用。</w:t>
      </w:r>
    </w:p>
    <w:p w14:paraId="6224946B">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▲3.5 设有数字化病案使用权限功能。病案访问权限分为阅读、打印和导出三类，每一级权限向下兼容，访问控制包括用户组权限、科室权限、有效期限制、医学分类限制、IP地址限制、显示字段限制和特殊病案锁定。</w:t>
      </w:r>
    </w:p>
    <w:p w14:paraId="79B9F94C">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3.6 系统自动记录用户在系统内所有操作的详细日志，并可形成报表，便于回溯追踪。</w:t>
      </w:r>
    </w:p>
    <w:p w14:paraId="6EB40568">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▲3.7 系统可实现对病案数据的备份，提供定时定期的数据备份及还原功能。数字化病案的图像清晰、无歪斜、打印清晰，每幅图像均有属性标注。</w:t>
      </w:r>
    </w:p>
    <w:p w14:paraId="6DBDAE02">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▲3.8 支持国家上报类导出抽查，数字化病案可按照指定顺序（批量、单份、单页、自定义分类）导出。</w:t>
      </w:r>
    </w:p>
    <w:p w14:paraId="206A58C0">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3.9 系统能满足医师远程查阅及科研随访运用，能通过局域网实现病案的使用申请、批复、查阅功能。</w:t>
      </w:r>
    </w:p>
    <w:p w14:paraId="5E4D3A76">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4.软件模块要求</w:t>
      </w:r>
    </w:p>
    <w:p w14:paraId="6EE8FC04">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 权限管理模块</w:t>
      </w:r>
    </w:p>
    <w:p w14:paraId="51D3AA84">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720" w:firstLineChars="3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4.1.1用户管理：管理内部及外部用户的信息，可以对系统登录用户的信息进行查询/添加/修改/删除。</w:t>
      </w:r>
    </w:p>
    <w:p w14:paraId="317B8254">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720" w:firstLineChars="3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4.1.2用户组管理：查询/添加/修改/删除用户组，并可设置人员所属的用户组。</w:t>
      </w:r>
    </w:p>
    <w:p w14:paraId="6A0963FA">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720" w:firstLineChars="3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4.1.3用户组权限：设置用户组所拥有的系统功能的权限。</w:t>
      </w:r>
    </w:p>
    <w:p w14:paraId="45F77890">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720" w:firstLineChars="3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4.1.4科室管理：查询/添加/修改/删除科室信息，并可维护科室下包含的人员。</w:t>
      </w:r>
    </w:p>
    <w:p w14:paraId="60EAF3D3">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4.1.5病案权限配置：配置病案浏览的权限（按用户及按用户组），可以按照用户的方式一个个地进行病案权限的配置，也可以按照用户组的方式进行整体分配（如直接将某个科室的病案分配给用户组），同时也可以设置病案图片医学分类的权限，可以分别设置病案的阅读，打印及导出的权限。（提供已有成品系统截图，并加盖供应商公章）。</w:t>
      </w:r>
    </w:p>
    <w:p w14:paraId="0FB4EA8F">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720" w:firstLineChars="3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4.1.6分类模板：设置病案图片的分类权限模板，在为病案分配权限时可以直接引用该模板，无需重复设置。病案分类（包含大类和细类），细类需与每页的标题或类别一一对应，便于快速定位和查找，具有自动分类和快速手动分类功能。</w:t>
      </w:r>
    </w:p>
    <w:p w14:paraId="430193C9">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720" w:firstLineChars="3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4.1.7访问权限控制：病案访问权限分为阅读、打印和导出三类，每一级权限向下兼容，访问控制包括用户组权限、科室权限、有效期限制、医学分类限制、IP 地址限制、显示字段限制和特殊病案锁定。</w:t>
      </w:r>
    </w:p>
    <w:p w14:paraId="43359A96">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720" w:firstLineChars="3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4.1.8显示字段控制：可以设置在浏览器中浏览病案时列表中所显示的字段。可以在用户级别和用户组级别上进行显示权限的控制。</w:t>
      </w:r>
    </w:p>
    <w:p w14:paraId="36922CDF">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720" w:firstLineChars="3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4.1.9水印设置：可以制作在打印时叠加上去的水印，并且在打印病案的时候可以将其叠加到病案图片上。并可根据不同登录用户，自动将当前登录人的员工编号、姓名及登录时间作为动态水印，便于确认泄露人信息。</w:t>
      </w:r>
    </w:p>
    <w:p w14:paraId="591F464F">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720" w:firstLineChars="3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4.1.10病案锁定：可以将一些特殊的病案进行锁定，被锁定的病案将无法在浏览器中被查询到。</w:t>
      </w:r>
    </w:p>
    <w:p w14:paraId="0E034154">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720" w:firstLineChars="3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4.1.11病案申请审批：对浏览器中提交过来的病案阅读申请进行审批，可以为申请的病案设定阅读的时限等。</w:t>
      </w:r>
    </w:p>
    <w:p w14:paraId="0C209871">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720" w:firstLineChars="3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4.1.12监控中心：查看各个系统的用户的使用的情况，包括：用户是否在线，用户有申请需要审批，用户浏览病案的历史情况，用户权限等。</w:t>
      </w:r>
    </w:p>
    <w:p w14:paraId="5C9352C9">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720" w:firstLineChars="3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4.1.13病案错误报告：处理病案浏览器上用户反馈上来的病案错误（如：图片缺页/分类错误等）。</w:t>
      </w:r>
    </w:p>
    <w:p w14:paraId="722F16C5">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720" w:firstLineChars="3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4.1.14病案定位：查询病案在库房中的位置，可按病人姓名，病案号，出院日期，条码号，打包号，库房号或库位名查询，并生成统计报表。</w:t>
      </w:r>
    </w:p>
    <w:p w14:paraId="139B2068">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720" w:firstLineChars="3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4.1.15病案导出：可以将选择好病案进行打包压缩导出，配合相应的浏览工具可在离线的环境下浏览。</w:t>
      </w:r>
    </w:p>
    <w:p w14:paraId="1649B83E">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720" w:firstLineChars="3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4.1.16病案浏览统计：可查询用户、科室在某一时间段内数字化病案使用情况，并生成统计报表。</w:t>
      </w:r>
    </w:p>
    <w:p w14:paraId="59056BB5">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4.2 检索模块</w:t>
      </w:r>
    </w:p>
    <w:p w14:paraId="6388B019">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4.2.1关键词搜索：可以选择搜索分类（病案号/疾病/手术/科室/病人姓名/医生），多关键词搜索（可以填写多个搜索关键词及指定关键词之间的关系），精确与模糊的搜索方式。（提供成品系统截图，并加盖供应商公章）</w:t>
      </w:r>
    </w:p>
    <w:p w14:paraId="0E627EFB">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4.2.2高级搜索：可以按照列出的各种查询条件对病案进行查询，这种检索方式常用于检索条件比较多的情况下。</w:t>
      </w:r>
    </w:p>
    <w:p w14:paraId="5E1F78E0">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4.2.3自定义搜索：可以自定义组织查询条件的组合进行搜索。这种检索方式常用于需检索的条件比较复杂的情况下。</w:t>
      </w:r>
    </w:p>
    <w:p w14:paraId="2F583696">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4.2.4经典搜索：传统的检索方式，左边是检索条件右边是检索结果。在检索时还可设定病案图片的医学分类，以便在查看病案图片时过滤掉无需查看的图片。</w:t>
      </w:r>
    </w:p>
    <w:p w14:paraId="10207D52">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4.2.5病案搜索结果：拥有两种显示结果的模式：列表方式与自由布局方式。列表方式为最常见的一行一行的显示，自由布局方式为卡片效果，一份病案即一张卡片，显示效果清晰。</w:t>
      </w:r>
    </w:p>
    <w:p w14:paraId="5E83DFF9">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4.2.6病案图片浏览：对病案图片的浏览进行了严格的权限控制（阅读/打印/导出）。可以设置需要过滤的图片分类（例如只显示病案首页或病程录等），查看病案图片的同时可利用提供的‘浏览工具箱’对图片进行一系列的处理（如放大/缩小/全屏/黑白彩色切换/裁剪/打印等等）。浏览期间可对感兴趣的病案收藏到收藏夹并且可以填写笔记。显示病案图片时可以设置阅读水印，用于病案的保护。</w:t>
      </w:r>
    </w:p>
    <w:p w14:paraId="67B91611">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4.2.7病案收藏夹：用于显示及搜索在浏览病案时收藏的病案并且可以显示当时记录的病案笔记，类似IE浏览器的网页收藏夹。</w:t>
      </w:r>
    </w:p>
    <w:p w14:paraId="55659DEB">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4.2.8申请查看：可以浏览并查询用户曾经申请过的需要查阅的病案的记录，及时了解审批情况。</w:t>
      </w:r>
    </w:p>
    <w:p w14:paraId="1DE90CEE">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4.2.9浏览历史：查询用户曾经浏览过的病案记录，类似IE浏览器的历史记录，可以方便用户查看以往浏览过的病案，而无须再一次搜索。</w:t>
      </w:r>
    </w:p>
    <w:p w14:paraId="5D02E83A">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4.2.10个性化设置：可以按照用户个人的喜好设置一些系统设置，如：首页显示（进入系统后显示的第一个界面），浏览结果的显示方式（检索结果每页显示的条数/检索结果排列的方式等），医学分类的设置（用于在浏览图片时预先过滤无需查看的病案），病案图片打印的设置（纸张/水印等）等。（需提供系统截图并加盖供应商公章）。</w:t>
      </w:r>
    </w:p>
    <w:p w14:paraId="461048DD">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4.3 打印模块</w:t>
      </w:r>
    </w:p>
    <w:p w14:paraId="784E4934">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4.3.1打印申请：维护申请打印人员的信息及申请分类（打印或复印），可拍摄证件并归档保存，查询并选择需打印的病案，同时统计所需费用，并可自己调整实际收费。</w:t>
      </w:r>
    </w:p>
    <w:p w14:paraId="06A1ADDE">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4.3.2集中打印：未打印过的病案可以统一处理，按照申请人的记录完成打印任务。</w:t>
      </w:r>
    </w:p>
    <w:p w14:paraId="507E7D67">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4.3.3集中复印：对未复印的病案进行集中统一处理。</w:t>
      </w:r>
    </w:p>
    <w:p w14:paraId="7DBB6A80">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4.3.4申请查询：查询申请过打印或复印的申请人信息，并可查看申请人相应的申请信息，证件照，打印的病案记录，费用等。</w:t>
      </w:r>
    </w:p>
    <w:p w14:paraId="7AE5529D">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4.3.5打印参数：设置默认的打印参数（纸张大小/图片色彩/打印份数/打印分类及顺序/收费模式）。</w:t>
      </w:r>
    </w:p>
    <w:p w14:paraId="2C781310">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4.3.6打印明细：按时间段及申请人统计申请人打印的病案的明细记录。</w:t>
      </w:r>
    </w:p>
    <w:p w14:paraId="1BF6C0BF">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4.3.7复印明细：按时间段及申请人统计申请人复印的病案的明细记录。</w:t>
      </w:r>
    </w:p>
    <w:p w14:paraId="47270DED">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4.3.8可根据用户选择的模式进行打印，例如：根据病人所需上报的保险类型对需要的病历分类进行打印，减少操作者查找病历的时间。</w:t>
      </w:r>
    </w:p>
    <w:p w14:paraId="640B892F">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5.系统存储管理要求</w:t>
      </w:r>
    </w:p>
    <w:p w14:paraId="277A6072">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▲5.1电子病案图像信息采用分布式动态扩展逻辑服务器进行管理，不依赖某一具体设备；并能在windows、unix等不同操作系统上运行，应用及存储要求本地化部署。</w:t>
      </w:r>
    </w:p>
    <w:p w14:paraId="4ECA8CDF">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▲5.2系统可实现对病案数据的磁盘备份，提供定时定期的数据备份以及还原功能，供应商需配合完成病案扫描数据的备份工作。</w:t>
      </w:r>
    </w:p>
    <w:p w14:paraId="474473FC">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6.系统接口要求</w:t>
      </w:r>
    </w:p>
    <w:p w14:paraId="00F9D999">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▲6.1 病案首页系统接口：可导入已有的病案首页信息。（供应商需提供系统截图并加盖投标人公章） </w:t>
      </w:r>
    </w:p>
    <w:p w14:paraId="63EAF016">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▲6.2 数字化病案调用接口：提供 B/S 形式或 C/S 形式的接口，方便电子病历系统等工作站调用，并协助采购人对数字化病案医疗数据实现互联互通。</w:t>
      </w:r>
    </w:p>
    <w:p w14:paraId="5B569719">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▲6.3 供应商提供的项目系统因支撑采购人业务所需而要开发接口程序，或者系统需要第三方开发接口的，供应商需无条件承担开发接口程序所产生的所有费用。（供应商须提供承诺函并加盖供应商公章）</w:t>
      </w:r>
    </w:p>
    <w:p w14:paraId="71974FE4">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▲6.4 兼容性：为医院搭建病案数字化管理系统（实现：数字化管理系统包括病案数字化加工系统、窗口打印系统、病案查询系统、病案管理系统图片调用接口，病案管理系统导出各种图片格式如：pdf，jpg等），实现院内信息化良好应用。数字化病案图像浏览等软件兼容性好，能方便采购人后期的信息整合和调用等。供应商需充分了解采购人现有病案数字化项目现状，能与采购人现有的病案数字化管理系统（上海联众病案数字化应用系统2024.2.6.0601）进行整合，统一完成一个界面调用所有数字化相关数据。如因供应商虚假响应，导致无法通过系统测试的，供应商须承担相应的经济损失和法律责任。</w:t>
      </w:r>
    </w:p>
    <w:p w14:paraId="24DDB684">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★7.信息保密要求</w:t>
      </w:r>
    </w:p>
    <w:p w14:paraId="5E3BF3BD">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7.1 本项目制作的数字化产品的所有权归龙泉驿区妇幼保健院所有，在未经其同意、授权的情况下，不得擅自将产品转让给第三方使用及用于包括但不限于战略计划、商业模式、经营数据、商业合同、客户信息、财务报表、价格信息、制度流程、统计数据、软件硬件等，否则将承担一切经济和法律责任。采购人与供应商双方应就病案存储服务签订保密安全协议。</w:t>
      </w:r>
    </w:p>
    <w:p w14:paraId="2C1B006A">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7.2 须对所属或聘用的相关人员对所接触的信息进行保密。并取得员工承诺：无论其任职或离职，该员工都保证不向任何人、公司、企业或其他方透露所获悉保密信息。若员工违反保密约定，中标人须承担连带责任。所有进入加工场地的工作人员实行挂牌制度。杜绝工作人员对病案及病案信息的私自复制行为。（供应商须提供承诺函并加盖供应商公章）</w:t>
      </w:r>
    </w:p>
    <w:p w14:paraId="25554446">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7.3 进行数据移交时，工作站上的数据必须在采购人工作人员的现场监督下销毁，同时移交该批次数字化加工的监管记录。</w:t>
      </w:r>
    </w:p>
    <w:p w14:paraId="582A18A9">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8.项目服务团队要求</w:t>
      </w:r>
    </w:p>
    <w:p w14:paraId="4B071B64">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8.1 供应商应当依法用工，按照项目要求自行组织项目服务团队并及时支付相关费用，因供应商未妥善履行前述相关要求造成的责任及产生的所有费用由供应商自行承担。</w:t>
      </w:r>
    </w:p>
    <w:p w14:paraId="7B284820">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8.2 供应商需承担项目服务人员的安全责任事故、意外事故等全部责任。项目服务人员在服务期内如出现安全事故，或者其他原因导致伤、残、亡等，由供应商自行承担全部责任及费用。</w:t>
      </w:r>
    </w:p>
    <w:p w14:paraId="1A3C2798">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8.3供应商应当保证项目服务人员遵守法律法规和采购人的各项规章制度，维护采购人利益。如因服务人员过错给采购人造成财产或其他损失的，由供应商承担全部责任及费用。</w:t>
      </w:r>
    </w:p>
    <w:p w14:paraId="1914F92C">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8.4 供应商负责根据采购人项目进度及加工数量要求，调整人员及配套加工设备，保证项目顺利开展。项目负责人应当积极配合采购人解决项目服务过程中碰到的各项问题，并完成各项工作。</w:t>
      </w:r>
    </w:p>
    <w:p w14:paraId="32168E29">
      <w:pPr>
        <w:pStyle w:val="2"/>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5CC49237">
      <w:pPr>
        <w:rPr>
          <w:rFonts w:hint="eastAsia"/>
          <w:lang w:val="en-US" w:eastAsia="zh-CN"/>
        </w:rPr>
      </w:pPr>
    </w:p>
    <w:p w14:paraId="77AFF5C7">
      <w:pPr>
        <w:rPr>
          <w:rFonts w:hint="eastAsia"/>
          <w:lang w:val="en-US" w:eastAsia="zh-CN"/>
        </w:rPr>
      </w:pPr>
    </w:p>
    <w:p w14:paraId="0354D145"/>
    <w:sectPr>
      <w:pgSz w:w="11906" w:h="16838"/>
      <w:pgMar w:top="1417" w:right="1134" w:bottom="141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6E70BD"/>
    <w:multiLevelType w:val="singleLevel"/>
    <w:tmpl w:val="D96E70B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DB656F"/>
    <w:rsid w:val="3CDB65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2025-08-19T06:14:00Z</dcterms:created>
  <dc:creator>邱玥</dc:creator>
  <cp:lastModifiedBy>邱玥</cp:lastModifiedBy>
  <dcterms:modified xsi:type="dcterms:W3CDTF">2025-08-19T06:15:16Z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FE89EB2210F9445DB39D81418561D1E6_11</vt:lpwstr>
  </property>
  <property fmtid="{D5CDD505-2E9C-101B-9397-08002B2CF9AE}" pid="4" name="KSOTemplateDocerSaveRecord">
    <vt:lpwstr>eyJoZGlkIjoiN2M2MjlkYjNmNmFjZDMwZDk4ODY1Yzg4N2I5NTM0OGEiLCJ1c2VySWQiOiIyMDIzNzE1ODQifQ==</vt:lpwstr>
  </property>
</Properties>
</file>