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CC3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bookmarkStart w:id="0" w:name="_GoBack"/>
      <w:bookmarkEnd w:id="0"/>
    </w:p>
    <w:p w14:paraId="27A5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32C03934">
      <w:pPr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预防接种示教基地建设配置模型，</w:t>
      </w:r>
      <w:r>
        <w:rPr>
          <w:rFonts w:hint="eastAsia" w:ascii="宋体" w:hAnsi="宋体" w:eastAsia="宋体" w:cs="宋体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宋体" w:hAnsi="宋体" w:eastAsia="宋体" w:cs="宋体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用于预防接种示教培训使用</w:t>
      </w:r>
      <w:r>
        <w:rPr>
          <w:rFonts w:hint="eastAsia" w:ascii="宋体" w:hAnsi="宋体" w:eastAsia="宋体" w:cs="宋体"/>
          <w:color w:val="000000" w:themeColor="text1"/>
          <w:sz w:val="24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  <w:t>模型配置清单如下：</w:t>
      </w:r>
    </w:p>
    <w:tbl>
      <w:tblPr>
        <w:tblStyle w:val="3"/>
        <w:tblW w:w="10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700"/>
        <w:gridCol w:w="4380"/>
        <w:gridCol w:w="870"/>
        <w:gridCol w:w="1290"/>
        <w:gridCol w:w="1190"/>
      </w:tblGrid>
      <w:tr w14:paraId="60386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857" w:type="dxa"/>
            <w:noWrap w:val="0"/>
            <w:vAlign w:val="center"/>
          </w:tcPr>
          <w:p w14:paraId="69238BDF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0" w:type="dxa"/>
            <w:noWrap w:val="0"/>
            <w:vAlign w:val="center"/>
          </w:tcPr>
          <w:p w14:paraId="195DCE01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模型名称</w:t>
            </w:r>
          </w:p>
        </w:tc>
        <w:tc>
          <w:tcPr>
            <w:tcW w:w="4380" w:type="dxa"/>
            <w:noWrap w:val="0"/>
            <w:vAlign w:val="center"/>
          </w:tcPr>
          <w:p w14:paraId="650EAB77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主要用途</w:t>
            </w:r>
          </w:p>
        </w:tc>
        <w:tc>
          <w:tcPr>
            <w:tcW w:w="870" w:type="dxa"/>
            <w:noWrap w:val="0"/>
            <w:vAlign w:val="center"/>
          </w:tcPr>
          <w:p w14:paraId="06D0CB0F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数量（个）</w:t>
            </w:r>
          </w:p>
        </w:tc>
        <w:tc>
          <w:tcPr>
            <w:tcW w:w="1290" w:type="dxa"/>
            <w:noWrap w:val="0"/>
            <w:vAlign w:val="center"/>
          </w:tcPr>
          <w:p w14:paraId="5B3E91AD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预算单价       （元/个）</w:t>
            </w:r>
          </w:p>
        </w:tc>
        <w:tc>
          <w:tcPr>
            <w:tcW w:w="1190" w:type="dxa"/>
            <w:noWrap w:val="0"/>
            <w:vAlign w:val="center"/>
          </w:tcPr>
          <w:p w14:paraId="40F034EF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预算总价（元）</w:t>
            </w:r>
          </w:p>
        </w:tc>
      </w:tr>
      <w:tr w14:paraId="76EE3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857" w:type="dxa"/>
            <w:noWrap w:val="0"/>
            <w:vAlign w:val="center"/>
          </w:tcPr>
          <w:p w14:paraId="2BAC94A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 w14:paraId="7D75EB8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婴儿复苏QCPR</w:t>
            </w:r>
          </w:p>
          <w:p w14:paraId="0BE4A247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带电子显示器</w:t>
            </w:r>
          </w:p>
        </w:tc>
        <w:tc>
          <w:tcPr>
            <w:tcW w:w="4380" w:type="dxa"/>
            <w:noWrap w:val="0"/>
            <w:vAlign w:val="center"/>
          </w:tcPr>
          <w:p w14:paraId="1781F0A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培训、教学、练习</w:t>
            </w:r>
          </w:p>
          <w:p w14:paraId="7562A05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婴儿心肺复苏操作</w:t>
            </w:r>
          </w:p>
        </w:tc>
        <w:tc>
          <w:tcPr>
            <w:tcW w:w="870" w:type="dxa"/>
            <w:noWrap w:val="0"/>
            <w:vAlign w:val="center"/>
          </w:tcPr>
          <w:p w14:paraId="12CB792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  <w:noWrap w:val="0"/>
            <w:vAlign w:val="center"/>
          </w:tcPr>
          <w:p w14:paraId="3569B2B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15000.00</w:t>
            </w:r>
          </w:p>
        </w:tc>
        <w:tc>
          <w:tcPr>
            <w:tcW w:w="1190" w:type="dxa"/>
            <w:vMerge w:val="restart"/>
            <w:noWrap w:val="0"/>
            <w:vAlign w:val="center"/>
          </w:tcPr>
          <w:p w14:paraId="23C166D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78000.00</w:t>
            </w:r>
          </w:p>
        </w:tc>
      </w:tr>
      <w:tr w14:paraId="7C0A3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57" w:type="dxa"/>
            <w:noWrap w:val="0"/>
            <w:vAlign w:val="center"/>
          </w:tcPr>
          <w:p w14:paraId="070F769A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700" w:type="dxa"/>
            <w:noWrap w:val="0"/>
            <w:vAlign w:val="center"/>
          </w:tcPr>
          <w:p w14:paraId="4653300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AED训练器</w:t>
            </w:r>
          </w:p>
        </w:tc>
        <w:tc>
          <w:tcPr>
            <w:tcW w:w="4380" w:type="dxa"/>
            <w:noWrap w:val="0"/>
            <w:vAlign w:val="center"/>
          </w:tcPr>
          <w:p w14:paraId="639EDD8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培训、教学、练习</w:t>
            </w:r>
          </w:p>
          <w:p w14:paraId="2D95196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自动体外除颤器模拟操作</w:t>
            </w:r>
          </w:p>
        </w:tc>
        <w:tc>
          <w:tcPr>
            <w:tcW w:w="870" w:type="dxa"/>
            <w:noWrap w:val="0"/>
            <w:vAlign w:val="center"/>
          </w:tcPr>
          <w:p w14:paraId="73B1DDF5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  <w:noWrap w:val="0"/>
            <w:vAlign w:val="center"/>
          </w:tcPr>
          <w:p w14:paraId="51DCFC9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4000.00</w:t>
            </w:r>
          </w:p>
        </w:tc>
        <w:tc>
          <w:tcPr>
            <w:tcW w:w="1190" w:type="dxa"/>
            <w:vMerge w:val="continue"/>
            <w:noWrap w:val="0"/>
            <w:vAlign w:val="center"/>
          </w:tcPr>
          <w:p w14:paraId="5D8B317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72A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57" w:type="dxa"/>
            <w:noWrap w:val="0"/>
            <w:vAlign w:val="center"/>
          </w:tcPr>
          <w:p w14:paraId="588562CD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700" w:type="dxa"/>
            <w:noWrap w:val="0"/>
            <w:vAlign w:val="center"/>
          </w:tcPr>
          <w:p w14:paraId="13B6F8D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婴儿气道</w:t>
            </w:r>
          </w:p>
          <w:p w14:paraId="54FFE89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梗塞模型</w:t>
            </w:r>
          </w:p>
        </w:tc>
        <w:tc>
          <w:tcPr>
            <w:tcW w:w="4380" w:type="dxa"/>
            <w:noWrap w:val="0"/>
            <w:vAlign w:val="center"/>
          </w:tcPr>
          <w:p w14:paraId="393734E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培训、教学、练习</w:t>
            </w:r>
          </w:p>
          <w:p w14:paraId="0B197CF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婴儿气道梗阻急救技能操作</w:t>
            </w:r>
          </w:p>
        </w:tc>
        <w:tc>
          <w:tcPr>
            <w:tcW w:w="870" w:type="dxa"/>
            <w:noWrap w:val="0"/>
            <w:vAlign w:val="center"/>
          </w:tcPr>
          <w:p w14:paraId="19FF81D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  <w:noWrap w:val="0"/>
            <w:vAlign w:val="center"/>
          </w:tcPr>
          <w:p w14:paraId="0A068C3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2000.00</w:t>
            </w:r>
          </w:p>
        </w:tc>
        <w:tc>
          <w:tcPr>
            <w:tcW w:w="1190" w:type="dxa"/>
            <w:vMerge w:val="continue"/>
            <w:noWrap w:val="0"/>
            <w:vAlign w:val="center"/>
          </w:tcPr>
          <w:p w14:paraId="144A7DA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2A8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57" w:type="dxa"/>
            <w:noWrap w:val="0"/>
            <w:vAlign w:val="center"/>
          </w:tcPr>
          <w:p w14:paraId="291C5EC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700" w:type="dxa"/>
            <w:noWrap w:val="0"/>
            <w:vAlign w:val="center"/>
          </w:tcPr>
          <w:p w14:paraId="0E9FF0F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注射手臂模型</w:t>
            </w:r>
          </w:p>
        </w:tc>
        <w:tc>
          <w:tcPr>
            <w:tcW w:w="4380" w:type="dxa"/>
            <w:noWrap w:val="0"/>
            <w:vAlign w:val="center"/>
          </w:tcPr>
          <w:p w14:paraId="38120E5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培训、教学、练习</w:t>
            </w:r>
          </w:p>
          <w:p w14:paraId="129E3BF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各类注射、穿刺及采血技术的技能操作</w:t>
            </w:r>
          </w:p>
        </w:tc>
        <w:tc>
          <w:tcPr>
            <w:tcW w:w="870" w:type="dxa"/>
            <w:noWrap w:val="0"/>
            <w:vAlign w:val="center"/>
          </w:tcPr>
          <w:p w14:paraId="48F4267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  <w:noWrap w:val="0"/>
            <w:vAlign w:val="center"/>
          </w:tcPr>
          <w:p w14:paraId="22A7950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2000.00</w:t>
            </w:r>
          </w:p>
        </w:tc>
        <w:tc>
          <w:tcPr>
            <w:tcW w:w="1190" w:type="dxa"/>
            <w:vMerge w:val="continue"/>
            <w:noWrap w:val="0"/>
            <w:vAlign w:val="center"/>
          </w:tcPr>
          <w:p w14:paraId="64A3EE9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F50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57" w:type="dxa"/>
            <w:noWrap w:val="0"/>
            <w:vAlign w:val="center"/>
          </w:tcPr>
          <w:p w14:paraId="1AE6788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700" w:type="dxa"/>
            <w:noWrap w:val="0"/>
            <w:vAlign w:val="center"/>
          </w:tcPr>
          <w:p w14:paraId="267B312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儿童气管插管训练模型</w:t>
            </w:r>
          </w:p>
        </w:tc>
        <w:tc>
          <w:tcPr>
            <w:tcW w:w="4380" w:type="dxa"/>
            <w:noWrap w:val="0"/>
            <w:vAlign w:val="center"/>
          </w:tcPr>
          <w:p w14:paraId="5F2C927A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①培训标准及困难气道下的气管插管技术（经口、经鼻）。</w:t>
            </w:r>
          </w:p>
          <w:p w14:paraId="3699095E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②喉罩置入技术训练。</w:t>
            </w:r>
          </w:p>
          <w:p w14:paraId="7221B1BD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③可视化喉镜/光棒等辅助设备操作训练。</w:t>
            </w:r>
          </w:p>
          <w:p w14:paraId="52E4C665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④气道管理团队协作演练。</w:t>
            </w:r>
          </w:p>
        </w:tc>
        <w:tc>
          <w:tcPr>
            <w:tcW w:w="870" w:type="dxa"/>
            <w:noWrap w:val="0"/>
            <w:vAlign w:val="center"/>
          </w:tcPr>
          <w:p w14:paraId="7994FA6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  <w:noWrap w:val="0"/>
            <w:vAlign w:val="center"/>
          </w:tcPr>
          <w:p w14:paraId="17E122A8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3000.00</w:t>
            </w:r>
          </w:p>
        </w:tc>
        <w:tc>
          <w:tcPr>
            <w:tcW w:w="1190" w:type="dxa"/>
            <w:vMerge w:val="continue"/>
            <w:noWrap w:val="0"/>
            <w:vAlign w:val="center"/>
          </w:tcPr>
          <w:p w14:paraId="54985A0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E0F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57" w:type="dxa"/>
            <w:noWrap w:val="0"/>
            <w:vAlign w:val="center"/>
          </w:tcPr>
          <w:p w14:paraId="3B53E96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700" w:type="dxa"/>
            <w:noWrap w:val="0"/>
            <w:vAlign w:val="center"/>
          </w:tcPr>
          <w:p w14:paraId="550FDE4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新生儿</w:t>
            </w:r>
          </w:p>
          <w:p w14:paraId="479EAF0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复苏模型</w:t>
            </w:r>
          </w:p>
        </w:tc>
        <w:tc>
          <w:tcPr>
            <w:tcW w:w="4380" w:type="dxa"/>
            <w:noWrap w:val="0"/>
            <w:vAlign w:val="center"/>
          </w:tcPr>
          <w:p w14:paraId="736BC99E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①新生儿基础生命支持（BLS）技能训练（按压、通气）。</w:t>
            </w:r>
          </w:p>
          <w:p w14:paraId="251894B0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②新生儿高级生命支持（ALS）技能训练（气管插管、脐动静脉通路建立）。</w:t>
            </w:r>
          </w:p>
          <w:p w14:paraId="0984D21B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③新生儿窒息复苏流程（NRP）演练。</w:t>
            </w:r>
          </w:p>
          <w:p w14:paraId="1D7E61AB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④新生儿气道异物管理（结合吸引训练）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870" w:type="dxa"/>
            <w:noWrap w:val="0"/>
            <w:vAlign w:val="center"/>
          </w:tcPr>
          <w:p w14:paraId="78AD956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  <w:noWrap w:val="0"/>
            <w:vAlign w:val="center"/>
          </w:tcPr>
          <w:p w14:paraId="51120A4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8000.00</w:t>
            </w:r>
          </w:p>
        </w:tc>
        <w:tc>
          <w:tcPr>
            <w:tcW w:w="1190" w:type="dxa"/>
            <w:vMerge w:val="continue"/>
            <w:noWrap w:val="0"/>
            <w:vAlign w:val="center"/>
          </w:tcPr>
          <w:p w14:paraId="2B4A0C3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667CA7A">
      <w:pPr>
        <w:widowControl/>
        <w:numPr>
          <w:ilvl w:val="255"/>
          <w:numId w:val="0"/>
        </w:numPr>
        <w:spacing w:line="500" w:lineRule="exact"/>
        <w:ind w:firstLine="0" w:firstLineChars="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商务要求：</w:t>
      </w:r>
    </w:p>
    <w:p w14:paraId="7ED96E2B"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1．交货期及地点</w:t>
      </w:r>
    </w:p>
    <w:p w14:paraId="25A17AFA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1.1 交货期：合同签订生效后</w:t>
      </w:r>
      <w:r>
        <w:rPr>
          <w:rFonts w:hint="eastAsia" w:ascii="宋体" w:hAnsi="宋体" w:eastAsia="宋体" w:cs="宋体"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</w:rPr>
        <w:t xml:space="preserve">日内。 </w:t>
      </w:r>
    </w:p>
    <w:p w14:paraId="5C355D27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1.2 交货地点: 成都市龙泉驿区妇幼保健院</w:t>
      </w:r>
    </w:p>
    <w:p w14:paraId="5F0F3721"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2．付款方法和条件：</w:t>
      </w:r>
    </w:p>
    <w:p w14:paraId="5EA7F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合同签订后，货物到指定地点，安装调试完毕并经科室</w:t>
      </w:r>
      <w:r>
        <w:rPr>
          <w:rFonts w:hint="eastAsia" w:ascii="宋体" w:hAnsi="宋体" w:eastAsia="宋体" w:cs="宋体"/>
          <w:sz w:val="24"/>
          <w:lang w:val="en-US" w:eastAsia="zh-CN"/>
        </w:rPr>
        <w:t>验收</w:t>
      </w:r>
      <w:r>
        <w:rPr>
          <w:rFonts w:hint="eastAsia" w:ascii="宋体" w:hAnsi="宋体" w:eastAsia="宋体" w:cs="宋体"/>
          <w:sz w:val="24"/>
        </w:rPr>
        <w:t>确认后，甲方接向乙方核拨合同</w:t>
      </w:r>
      <w:r>
        <w:rPr>
          <w:rFonts w:hint="eastAsia" w:ascii="宋体" w:hAnsi="宋体" w:eastAsia="宋体" w:cs="宋体"/>
          <w:sz w:val="24"/>
          <w:lang w:val="en-US" w:eastAsia="zh-CN"/>
        </w:rPr>
        <w:t>全部款项</w:t>
      </w:r>
      <w:r>
        <w:rPr>
          <w:rFonts w:hint="eastAsia" w:ascii="宋体" w:hAnsi="宋体" w:eastAsia="宋体" w:cs="宋体"/>
          <w:sz w:val="24"/>
        </w:rPr>
        <w:t>。</w:t>
      </w:r>
    </w:p>
    <w:p w14:paraId="1D9154AC">
      <w:pPr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3.质保期：不低于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叁</w:t>
      </w:r>
      <w:r>
        <w:rPr>
          <w:rFonts w:hint="eastAsia" w:ascii="宋体" w:hAnsi="宋体" w:eastAsia="宋体" w:cs="宋体"/>
          <w:bCs/>
          <w:sz w:val="24"/>
          <w:highlight w:val="none"/>
        </w:rPr>
        <w:t>年，质保期从验收合格之日起计算。</w:t>
      </w:r>
    </w:p>
    <w:p w14:paraId="2DA667AD"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4.安装调试及验收：</w:t>
      </w:r>
    </w:p>
    <w:p w14:paraId="2741C5FC"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4.1 供应商负责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模型的</w:t>
      </w:r>
      <w:r>
        <w:rPr>
          <w:rFonts w:hint="eastAsia" w:ascii="宋体" w:hAnsi="宋体" w:eastAsia="宋体" w:cs="宋体"/>
          <w:bCs/>
          <w:sz w:val="24"/>
        </w:rPr>
        <w:t>安装、调试。</w:t>
      </w:r>
    </w:p>
    <w:p w14:paraId="453D4590"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4.2 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到达采购人现场后，供应商接到采购人通知后7日内到达现场组织安装、调试，达到正常运行要求，保证采购人正常使用。所需的费用包括在投标总价格中。</w:t>
      </w:r>
    </w:p>
    <w:p w14:paraId="5B486303">
      <w:pPr>
        <w:spacing w:line="500" w:lineRule="exact"/>
        <w:ind w:firstLine="240" w:firstLineChars="100"/>
        <w:jc w:val="lef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4.3 供应商应就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的安装、调试、操作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及</w:t>
      </w:r>
      <w:r>
        <w:rPr>
          <w:rFonts w:hint="eastAsia" w:ascii="宋体" w:hAnsi="宋体" w:eastAsia="宋体" w:cs="宋体"/>
          <w:bCs/>
          <w:sz w:val="24"/>
        </w:rPr>
        <w:t>保养等对采购人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相关科室使用</w:t>
      </w:r>
      <w:r>
        <w:rPr>
          <w:rFonts w:hint="eastAsia" w:ascii="宋体" w:hAnsi="宋体" w:eastAsia="宋体" w:cs="宋体"/>
          <w:bCs/>
          <w:sz w:val="24"/>
        </w:rPr>
        <w:t>人员进行培训，直至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使用</w:t>
      </w:r>
      <w:r>
        <w:rPr>
          <w:rFonts w:hint="eastAsia" w:ascii="宋体" w:hAnsi="宋体" w:eastAsia="宋体" w:cs="宋体"/>
          <w:bCs/>
          <w:sz w:val="24"/>
        </w:rPr>
        <w:t>人员能独立操作。</w:t>
      </w:r>
    </w:p>
    <w:p w14:paraId="3C0A92F5"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5.履约验收要求</w:t>
      </w:r>
    </w:p>
    <w:p w14:paraId="5F3C14A4"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5.1 验收方法：验收时双方皆应派员参加，验收合格并安装完毕后需双方签署验收单；</w:t>
      </w:r>
    </w:p>
    <w:p w14:paraId="302F3CC0"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5.2 验收标准：符合国家相关规定的合格产品；保证所供的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皆为原厂原装、全新、未使用过，并按照相关技术要求进行安装、调试，并完全满足采购人采购提出的工作需要。</w:t>
      </w:r>
    </w:p>
    <w:p w14:paraId="5A5BB58C"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5.3 验收时须提供的产品资料：（1）合同复印件1份；（2）中标人资质、产品制造厂家资质及产品资质、投标产品制造厂家的授权文件纸质电子版各1套；（3）合格证、保修卡、使用手册等。</w:t>
      </w:r>
    </w:p>
    <w:p w14:paraId="04394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5.4 验收时间要求：中标人按照合同要求完成全部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运输、安装、调试等全部工作后，采购人在收到书面的验收申请材料后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bCs/>
          <w:sz w:val="24"/>
        </w:rPr>
        <w:t>日内组织履约验收工作。</w:t>
      </w:r>
    </w:p>
    <w:p w14:paraId="2C8FD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5.5 其他要求：验收不合格时，采购人和中标人应协商一致，中标人应根据相关验收证明材料及时补足或更换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，费用由中标人自行承担。</w:t>
      </w:r>
    </w:p>
    <w:p w14:paraId="55A4D0B3">
      <w:pPr>
        <w:numPr>
          <w:ilvl w:val="255"/>
          <w:numId w:val="0"/>
        </w:num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6.售后服务要求</w:t>
      </w:r>
    </w:p>
    <w:p w14:paraId="1E1D6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模型</w:t>
      </w:r>
      <w:r>
        <w:rPr>
          <w:rFonts w:hint="eastAsia" w:ascii="宋体" w:hAnsi="宋体" w:eastAsia="宋体" w:cs="宋体"/>
          <w:bCs/>
          <w:sz w:val="24"/>
        </w:rPr>
        <w:t>发生故障时，中标人接到通知后30分钟内提供电话等服务响应，48小时内到达现场维修。</w:t>
      </w:r>
    </w:p>
    <w:p w14:paraId="336A9929">
      <w:pPr>
        <w:widowControl/>
        <w:numPr>
          <w:ilvl w:val="255"/>
          <w:numId w:val="0"/>
        </w:numPr>
        <w:spacing w:line="500" w:lineRule="exact"/>
        <w:ind w:firstLine="0" w:firstLineChars="0"/>
        <w:rPr>
          <w:rFonts w:hint="eastAsia" w:ascii="宋体" w:hAnsi="宋体" w:eastAsia="宋体" w:cs="宋体"/>
          <w:b/>
          <w:bCs/>
          <w:kern w:val="2"/>
          <w:sz w:val="24"/>
          <w:szCs w:val="24"/>
          <w:highlight w:val="none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color w:val="000000" w:themeColor="text1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要求：</w:t>
      </w:r>
    </w:p>
    <w:p w14:paraId="7E69A2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highlight w:val="none"/>
          <w:vertAlign w:val="baseline"/>
          <w:lang w:val="en-US" w:eastAsia="zh-CN" w:bidi="ar-SA"/>
        </w:rPr>
        <w:t>1.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vertAlign w:val="baseline"/>
          <w:lang w:val="en-US" w:eastAsia="zh-CN"/>
        </w:rPr>
        <w:t>婴儿复苏QCPR带电子显示器</w:t>
      </w:r>
    </w:p>
    <w:p w14:paraId="77A8DE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1.1模拟人为婴儿，具有完整的口鼻结构。解剖标志明显，便于操作定位；</w:t>
      </w:r>
    </w:p>
    <w:p w14:paraId="3B0C33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1.2用于海姆立克急救法训练、气管插管训练、心肺复苏训练；</w:t>
      </w:r>
    </w:p>
    <w:p w14:paraId="61119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1.3抢救成功后模拟婴儿哭啼状态，并可触摸到肱动脉及听诊心音；</w:t>
      </w:r>
    </w:p>
    <w:p w14:paraId="78033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1.4可进行教学：海姆立克急救法、胸外按压、开放气道等；</w:t>
      </w:r>
    </w:p>
    <w:p w14:paraId="3FE3E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1.5电子反馈仪训练模式需显示完全回弹、未完全回弹、太浅、深度适当、按压速率、训练时间、通气量；</w:t>
      </w:r>
    </w:p>
    <w:p w14:paraId="3677E6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1.6系统作出反馈总结，如：按压位置、按压深度、吹气时间、拍背位置、压胸位置等数据。</w:t>
      </w:r>
    </w:p>
    <w:p w14:paraId="41B66E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  <w:t>2.AED训练器</w:t>
      </w:r>
    </w:p>
    <w:p w14:paraId="73EA1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2.1具备成人和儿童两种模式，配有成人和儿童2种电极片；</w:t>
      </w:r>
    </w:p>
    <w:p w14:paraId="7FA1E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2.2语音提示：心律分析离开和电击离开两次提示；</w:t>
      </w:r>
    </w:p>
    <w:p w14:paraId="5BEA4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2.3具备模拟训练模式。</w:t>
      </w:r>
    </w:p>
    <w:p w14:paraId="4753DA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  <w:t>3.婴儿气道梗塞模型（供应商需提供样品，评审结束后返还）</w:t>
      </w:r>
    </w:p>
    <w:p w14:paraId="5A1E4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3.1气道阻塞模拟；</w:t>
      </w:r>
    </w:p>
    <w:p w14:paraId="2C5DC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3.2可进行CPR操作、海姆立克法、背部拍击法、胸部手指猛击法；</w:t>
      </w:r>
    </w:p>
    <w:p w14:paraId="1EB9A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3.3气道贯通时的胸部扩张。</w:t>
      </w:r>
    </w:p>
    <w:p w14:paraId="7B4E6C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  <w:t>4.注射手臂模型</w:t>
      </w:r>
    </w:p>
    <w:p w14:paraId="1253B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4.1解剖标志明显，手臂上分布的多条主要静脉血管系统，如头静脉、贵要静脉、前臂正中静脉等；</w:t>
      </w:r>
    </w:p>
    <w:p w14:paraId="15D69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4.2可进行三角肌部位的肌肉注射、静脉注射、输液（血）、抽血等穿刺训练功能，可注入、排出液体；</w:t>
      </w:r>
    </w:p>
    <w:p w14:paraId="0D139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4.3进针有明显的落空感，正确穿刺有明显的回血产生；</w:t>
      </w:r>
    </w:p>
    <w:p w14:paraId="7FD84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4.4静脉血管和皮肤都可更换，简单方便，经济实用；</w:t>
      </w:r>
    </w:p>
    <w:p w14:paraId="193A3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4.5在同一部位可进行无数次注射练习，不留针眼，不渗液，完全满足大批量学生反复多次教学操作练习。</w:t>
      </w:r>
    </w:p>
    <w:p w14:paraId="267E29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  <w:t>5.儿童气管插管训练模型（供应商需提供样品，评审结束后返还）</w:t>
      </w:r>
    </w:p>
    <w:p w14:paraId="17114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5.1标准的人体解剖结构与真实操作直观演示相组合的功能；</w:t>
      </w:r>
    </w:p>
    <w:p w14:paraId="71A6A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5.2活动的下颏和颈关节模拟真实的操作感受；</w:t>
      </w:r>
    </w:p>
    <w:p w14:paraId="7BC56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5.3舌有弹性，能下压，会厌能随舌根部活动二更接近临床实际，方便暴露声门；</w:t>
      </w:r>
    </w:p>
    <w:p w14:paraId="11666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5.4显示器上指示灯提示是否正确插入气管或误插入食管及牙齿受压；</w:t>
      </w:r>
    </w:p>
    <w:p w14:paraId="573F7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5.5可指示环甲膜穿刺部位；</w:t>
      </w:r>
    </w:p>
    <w:p w14:paraId="5CFA5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5.6可进行口腔、鼻腔气管插管的训练操作与教学演示；</w:t>
      </w:r>
    </w:p>
    <w:p w14:paraId="1D7CA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5.7在进行口腔、鼻腔气管插管的训练操作时，正确操作插入气道，有电子显示及奏乐功能；供气使双肺膨胀，并注入空气到管子气囊固定管子；</w:t>
      </w:r>
    </w:p>
    <w:p w14:paraId="1F2F1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5.8进行口腔鼻腔气管插管的训练操作时，错误操作插入食道，电子显示及报警功能。供气使胃膨胀；</w:t>
      </w:r>
    </w:p>
    <w:p w14:paraId="6BCBB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5.9进行口腔、鼻腔气管插管的训练操作时，错误操作使喉镜造成牙齿受压，有电子报警功能；</w:t>
      </w:r>
    </w:p>
    <w:p w14:paraId="588DA2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vertAlign w:val="baseline"/>
          <w:lang w:val="en-US" w:eastAsia="zh-CN"/>
        </w:rPr>
        <w:t>5.10可</w:t>
      </w:r>
      <w:r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  <w:t>观察对比一侧正常与另一侧散大之瞳孔。</w:t>
      </w:r>
    </w:p>
    <w:p w14:paraId="3808BD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vertAlign w:val="baseline"/>
          <w:lang w:val="en-US" w:eastAsia="zh-CN" w:bidi="ar-SA"/>
        </w:rPr>
        <w:t>6.新生儿复苏模型</w:t>
      </w:r>
    </w:p>
    <w:p w14:paraId="1D583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6.1瞳孔观察：瞳孔显示一侧正常、一侧散大状态, 可直观对比；</w:t>
      </w:r>
    </w:p>
    <w:p w14:paraId="60009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6.2可进行新生儿护理操作：洗浴、更换尿布、口腔护理、耳清洗滴药、冷热疗法、包扎等；</w:t>
      </w:r>
    </w:p>
    <w:p w14:paraId="7C5B7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6.3气道管理技术：逼真的口腔、气道（鼻、咽、喉、气管等）和食管等结构，可以练习经口气管插管，支持口对口、口对鼻、简易呼吸器对口等多种通气方式；支持听诊检测插管位置，牙齿受压报警；</w:t>
      </w:r>
    </w:p>
    <w:p w14:paraId="3FC6E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6.4吸痰法：经口、鼻插入吸痰管练习，模拟吸痰；</w:t>
      </w:r>
    </w:p>
    <w:p w14:paraId="64816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6.5氧气吸入法：有明显鼻中隔，可练习鼻导管给氧法；</w:t>
      </w:r>
    </w:p>
    <w:p w14:paraId="3D6AE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6.6胃管置入术：可进行口鼻饲食法、洗胃、胃肠减压操作，支持腹部听诊检测插管位置；</w:t>
      </w:r>
    </w:p>
    <w:p w14:paraId="4AF37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6.7静脉穿刺抽血、静脉注射或静脉输液、静脉输血，手感真实，穿刺正确有明显的落空感。可配合模拟血液，进行真实的穿刺训练。主要分布为头皮静脉（颞浅静脉、耳后静脉）和右侧手臂头静脉、右侧股静脉、左侧大隐静脉和脐静脉等；</w:t>
      </w:r>
    </w:p>
    <w:p w14:paraId="2E909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/>
          <w:bCs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6.8脐静脉插管输液、脐带结扎护理。</w:t>
      </w:r>
    </w:p>
    <w:p w14:paraId="59DD8B5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807C5"/>
    <w:rsid w:val="79F8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2025-10-24T04:16:00Z</dcterms:created>
  <dc:creator>邱玥</dc:creator>
  <cp:lastModifiedBy>邱玥</cp:lastModifiedBy>
  <dcterms:modified xsi:type="dcterms:W3CDTF">2025-10-24T04:16:51Z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96FD28069FCB4C9E81545DF62B01E76F_11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