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0B49611">
      <w:pPr>
        <w:jc w:val="left"/>
        <w:rPr>
          <w:rFonts w:hint="default" w:ascii="Times New Roman" w:hAnsi="Times New Roman" w:eastAsia="方正公文小标宋" w:cs="Times New Roman"/>
          <w:sz w:val="32"/>
          <w:szCs w:val="32"/>
          <w:highlight w:val="yellow"/>
          <w:lang w:val="en-US" w:eastAsia="zh-CN"/>
        </w:rPr>
      </w:pPr>
      <w:bookmarkStart w:id="0" w:name="_GoBack"/>
      <w:r>
        <w:rPr>
          <w:rFonts w:hint="eastAsia" w:ascii="华文中宋" w:hAnsi="华文中宋" w:eastAsia="华文中宋"/>
          <w:b/>
          <w:color w:val="000000" w:themeColor="text1"/>
          <w:sz w:val="32"/>
          <w:lang w:val="en-US" w:eastAsia="zh-CN"/>
          <w14:textFill>
            <w14:solidFill>
              <w14:schemeClr w14:val="tx1"/>
            </w14:solidFill>
          </w14:textFill>
        </w:rPr>
        <w:t>附件三：</w:t>
      </w:r>
      <w:r>
        <w:rPr>
          <w:rFonts w:hint="eastAsia" w:ascii="华文中宋" w:hAnsi="华文中宋" w:eastAsia="华文中宋"/>
          <w:b/>
          <w:color w:val="000000" w:themeColor="text1"/>
          <w:sz w:val="32"/>
          <w:szCs w:val="22"/>
          <w:highlight w:val="none"/>
          <w14:textFill>
            <w14:solidFill>
              <w14:schemeClr w14:val="tx1"/>
            </w14:solidFill>
          </w14:textFill>
        </w:rPr>
        <w:t>综合评分明细表</w:t>
      </w:r>
    </w:p>
    <w:bookmarkEnd w:id="0"/>
    <w:tbl>
      <w:tblPr>
        <w:tblStyle w:val="2"/>
        <w:tblpPr w:leftFromText="180" w:rightFromText="180" w:vertAnchor="text" w:tblpXSpec="center" w:tblpY="1"/>
        <w:tblOverlap w:val="never"/>
        <w:tblW w:w="936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5"/>
        <w:gridCol w:w="1090"/>
        <w:gridCol w:w="1041"/>
        <w:gridCol w:w="5160"/>
        <w:gridCol w:w="1395"/>
      </w:tblGrid>
      <w:tr w14:paraId="4CBE6D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675" w:type="dxa"/>
            <w:vAlign w:val="center"/>
          </w:tcPr>
          <w:p w14:paraId="1E839D2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序号</w:t>
            </w:r>
          </w:p>
        </w:tc>
        <w:tc>
          <w:tcPr>
            <w:tcW w:w="1090" w:type="dxa"/>
            <w:vAlign w:val="center"/>
          </w:tcPr>
          <w:p w14:paraId="1C42F060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评分因素</w:t>
            </w:r>
          </w:p>
          <w:p w14:paraId="045BA1F8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及权重</w:t>
            </w:r>
          </w:p>
        </w:tc>
        <w:tc>
          <w:tcPr>
            <w:tcW w:w="1041" w:type="dxa"/>
            <w:vAlign w:val="center"/>
          </w:tcPr>
          <w:p w14:paraId="348ABE9B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分值</w:t>
            </w:r>
          </w:p>
        </w:tc>
        <w:tc>
          <w:tcPr>
            <w:tcW w:w="5160" w:type="dxa"/>
            <w:vAlign w:val="center"/>
          </w:tcPr>
          <w:p w14:paraId="1F57A109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评分标准</w:t>
            </w:r>
          </w:p>
        </w:tc>
        <w:tc>
          <w:tcPr>
            <w:tcW w:w="1395" w:type="dxa"/>
            <w:vAlign w:val="center"/>
          </w:tcPr>
          <w:p w14:paraId="73F8E34D">
            <w:pPr>
              <w:spacing w:line="4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备注</w:t>
            </w:r>
          </w:p>
        </w:tc>
      </w:tr>
      <w:tr w14:paraId="5B4A7D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  <w:jc w:val="center"/>
        </w:trPr>
        <w:tc>
          <w:tcPr>
            <w:tcW w:w="675" w:type="dxa"/>
            <w:vAlign w:val="center"/>
          </w:tcPr>
          <w:p w14:paraId="7221FDF2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</w:t>
            </w:r>
          </w:p>
        </w:tc>
        <w:tc>
          <w:tcPr>
            <w:tcW w:w="1090" w:type="dxa"/>
            <w:vAlign w:val="center"/>
          </w:tcPr>
          <w:p w14:paraId="0CEF6AAA">
            <w:pPr>
              <w:jc w:val="center"/>
              <w:rPr>
                <w:rFonts w:ascii="仿宋" w:hAnsi="仿宋" w:eastAsia="仿宋"/>
                <w:szCs w:val="21"/>
              </w:rPr>
            </w:pPr>
          </w:p>
          <w:p w14:paraId="7C626103">
            <w:pPr>
              <w:jc w:val="center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报价</w:t>
            </w:r>
          </w:p>
          <w:p w14:paraId="7378226C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  <w:p w14:paraId="19316DD4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041" w:type="dxa"/>
            <w:vAlign w:val="center"/>
          </w:tcPr>
          <w:p w14:paraId="673114E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30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5C769AE4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highlight w:val="none"/>
              </w:rPr>
              <w:t>满足招标文件要求且投标价格最低的报价为基准价，其价格分为满分。其他响应人的价格分统一按照下列公式计算：报价得分=(（基准价/响应报价)*30%*100</w:t>
            </w:r>
          </w:p>
        </w:tc>
        <w:tc>
          <w:tcPr>
            <w:tcW w:w="1395" w:type="dxa"/>
            <w:vAlign w:val="center"/>
          </w:tcPr>
          <w:p w14:paraId="78FBF3D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03F6EB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2" w:hRule="atLeast"/>
          <w:jc w:val="center"/>
        </w:trPr>
        <w:tc>
          <w:tcPr>
            <w:tcW w:w="675" w:type="dxa"/>
            <w:vAlign w:val="center"/>
          </w:tcPr>
          <w:p w14:paraId="44309E46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</w:t>
            </w:r>
          </w:p>
        </w:tc>
        <w:tc>
          <w:tcPr>
            <w:tcW w:w="1090" w:type="dxa"/>
            <w:vAlign w:val="center"/>
          </w:tcPr>
          <w:p w14:paraId="1A854F80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技术要求（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%）</w:t>
            </w:r>
          </w:p>
        </w:tc>
        <w:tc>
          <w:tcPr>
            <w:tcW w:w="1041" w:type="dxa"/>
            <w:vAlign w:val="center"/>
          </w:tcPr>
          <w:p w14:paraId="54EED75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50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48FC1B6A">
            <w:pPr>
              <w:numPr>
                <w:ilvl w:val="255"/>
                <w:numId w:val="0"/>
              </w:num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投标人针对技术参数条款的响应得分规则如下：</w:t>
            </w:r>
          </w:p>
          <w:p w14:paraId="7F49761B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1.一般技术参数条款响应得分=（投标人满足一般技术参数条款的数量÷对应包件中一般技术参数条款的总数量）×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/>
                <w:szCs w:val="21"/>
              </w:rPr>
              <w:t>分。一般技术参数条款：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14</w:t>
            </w:r>
            <w:r>
              <w:rPr>
                <w:rFonts w:hint="eastAsia" w:ascii="仿宋" w:hAnsi="仿宋" w:eastAsia="仿宋"/>
                <w:szCs w:val="21"/>
              </w:rPr>
              <w:t>条。</w:t>
            </w:r>
          </w:p>
          <w:p w14:paraId="54689E9E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2.投标人针对“”技术参数条款的响应得分规则如下：</w:t>
            </w:r>
          </w:p>
          <w:p w14:paraId="2AAB0FFA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”技术参数条款响应得分=（投标人满足“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”技术参数条款的数量÷对应包件中“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”技术参数条款的总数量）×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42</w:t>
            </w:r>
            <w:r>
              <w:rPr>
                <w:rFonts w:hint="eastAsia" w:ascii="仿宋" w:hAnsi="仿宋" w:eastAsia="仿宋"/>
                <w:szCs w:val="21"/>
              </w:rPr>
              <w:t>分。“</w:t>
            </w:r>
            <w:r>
              <w:rPr>
                <w:rFonts w:hint="eastAsia" w:ascii="宋体" w:hAnsi="宋体"/>
                <w:bCs/>
                <w:szCs w:val="21"/>
              </w:rPr>
              <w:t>▲</w:t>
            </w:r>
            <w:r>
              <w:rPr>
                <w:rFonts w:hint="eastAsia" w:ascii="仿宋" w:hAnsi="仿宋" w:eastAsia="仿宋"/>
                <w:szCs w:val="21"/>
              </w:rPr>
              <w:t>”技术参数条款：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/>
                <w:szCs w:val="21"/>
              </w:rPr>
              <w:t>条。</w:t>
            </w:r>
          </w:p>
        </w:tc>
        <w:tc>
          <w:tcPr>
            <w:tcW w:w="1395" w:type="dxa"/>
            <w:vAlign w:val="center"/>
          </w:tcPr>
          <w:p w14:paraId="23C8665A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/</w:t>
            </w:r>
          </w:p>
        </w:tc>
      </w:tr>
      <w:tr w14:paraId="2E2A1B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28" w:hRule="atLeast"/>
          <w:jc w:val="center"/>
        </w:trPr>
        <w:tc>
          <w:tcPr>
            <w:tcW w:w="675" w:type="dxa"/>
            <w:vAlign w:val="center"/>
          </w:tcPr>
          <w:p w14:paraId="129C125E">
            <w:pPr>
              <w:spacing w:line="400" w:lineRule="exact"/>
              <w:ind w:firstLine="28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3</w:t>
            </w:r>
          </w:p>
        </w:tc>
        <w:tc>
          <w:tcPr>
            <w:tcW w:w="1090" w:type="dxa"/>
            <w:vAlign w:val="center"/>
          </w:tcPr>
          <w:p w14:paraId="695FAE95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售后服务</w:t>
            </w:r>
          </w:p>
          <w:p w14:paraId="1A9EF4F2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（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  <w:r>
              <w:rPr>
                <w:rFonts w:ascii="仿宋" w:hAnsi="仿宋" w:eastAsia="仿宋"/>
                <w:szCs w:val="21"/>
              </w:rPr>
              <w:t>%</w:t>
            </w:r>
            <w:r>
              <w:rPr>
                <w:rFonts w:hint="eastAsia" w:ascii="仿宋" w:hAnsi="仿宋" w:eastAsia="仿宋"/>
                <w:szCs w:val="21"/>
              </w:rPr>
              <w:t>）</w:t>
            </w:r>
          </w:p>
        </w:tc>
        <w:tc>
          <w:tcPr>
            <w:tcW w:w="1041" w:type="dxa"/>
            <w:vAlign w:val="center"/>
          </w:tcPr>
          <w:p w14:paraId="0648E837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szCs w:val="21"/>
              </w:rPr>
              <w:t>分</w:t>
            </w:r>
          </w:p>
        </w:tc>
        <w:tc>
          <w:tcPr>
            <w:tcW w:w="5160" w:type="dxa"/>
            <w:vAlign w:val="center"/>
          </w:tcPr>
          <w:p w14:paraId="724BFBC2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投标人针对本项目提供的售后服务方案，包括但不限于①售后服务流程、②售后应急预案、③质量保障方案、④培训方案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Cs w:val="21"/>
              </w:rPr>
              <w:t>⑤维修保养计划，每具有一项前述细化指标内容得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3</w:t>
            </w:r>
            <w:r>
              <w:rPr>
                <w:rFonts w:hint="eastAsia" w:ascii="仿宋" w:hAnsi="仿宋" w:eastAsia="仿宋"/>
                <w:szCs w:val="21"/>
              </w:rPr>
              <w:t>分，不提供不得分，最多得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15</w:t>
            </w:r>
            <w:r>
              <w:rPr>
                <w:rFonts w:hint="eastAsia" w:ascii="仿宋" w:hAnsi="仿宋" w:eastAsia="仿宋"/>
                <w:szCs w:val="21"/>
              </w:rPr>
              <w:t>分；每有一处内容存在缺陷，扣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1.5</w:t>
            </w:r>
            <w:r>
              <w:rPr>
                <w:rFonts w:hint="eastAsia" w:ascii="仿宋" w:hAnsi="仿宋" w:eastAsia="仿宋"/>
                <w:szCs w:val="21"/>
              </w:rPr>
              <w:t xml:space="preserve">分，扣完为止。 </w:t>
            </w:r>
          </w:p>
          <w:p w14:paraId="14BF5A5F">
            <w:pPr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注：缺陷是指：内容与实际情况不符、内容与项目无关、内容表述错误、内容前后表述矛盾、内容与项目不匹配、项目信息错误、不符合本项目涉及的相关规范或标准要求的任意一种情形。</w:t>
            </w:r>
          </w:p>
        </w:tc>
        <w:tc>
          <w:tcPr>
            <w:tcW w:w="1395" w:type="dxa"/>
            <w:vAlign w:val="center"/>
          </w:tcPr>
          <w:p w14:paraId="04BB39BF">
            <w:pPr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/</w:t>
            </w:r>
          </w:p>
        </w:tc>
      </w:tr>
      <w:tr w14:paraId="59398DB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  <w:jc w:val="center"/>
        </w:trPr>
        <w:tc>
          <w:tcPr>
            <w:tcW w:w="675" w:type="dxa"/>
            <w:vAlign w:val="center"/>
          </w:tcPr>
          <w:p w14:paraId="126625FA">
            <w:pPr>
              <w:spacing w:line="400" w:lineRule="exact"/>
              <w:ind w:firstLine="28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4</w:t>
            </w:r>
          </w:p>
        </w:tc>
        <w:tc>
          <w:tcPr>
            <w:tcW w:w="1090" w:type="dxa"/>
            <w:vAlign w:val="center"/>
          </w:tcPr>
          <w:p w14:paraId="0CCAC161">
            <w:pPr>
              <w:jc w:val="center"/>
              <w:rPr>
                <w:rFonts w:hint="eastAsia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履约能力（5%）</w:t>
            </w:r>
          </w:p>
        </w:tc>
        <w:tc>
          <w:tcPr>
            <w:tcW w:w="1041" w:type="dxa"/>
            <w:vAlign w:val="center"/>
          </w:tcPr>
          <w:p w14:paraId="0B308C09">
            <w:pPr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5分</w:t>
            </w:r>
          </w:p>
        </w:tc>
        <w:tc>
          <w:tcPr>
            <w:tcW w:w="5160" w:type="dxa"/>
            <w:vAlign w:val="center"/>
          </w:tcPr>
          <w:p w14:paraId="2CBA9B84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</w:rPr>
              <w:t>提供202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</w:t>
            </w:r>
            <w:r>
              <w:rPr>
                <w:rFonts w:hint="eastAsia" w:ascii="仿宋" w:hAnsi="仿宋" w:eastAsia="仿宋"/>
                <w:szCs w:val="21"/>
              </w:rPr>
              <w:t>年1月1日以来具有类似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模型采购</w:t>
            </w:r>
            <w:r>
              <w:rPr>
                <w:rFonts w:hint="eastAsia" w:ascii="仿宋" w:hAnsi="仿宋" w:eastAsia="仿宋"/>
                <w:szCs w:val="21"/>
              </w:rPr>
              <w:t>项目业绩的，每有一个得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/>
                <w:szCs w:val="21"/>
              </w:rPr>
              <w:t>分，本项满分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/>
                <w:szCs w:val="21"/>
              </w:rPr>
              <w:t>分。注：提供中标通知书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或</w:t>
            </w:r>
            <w:r>
              <w:rPr>
                <w:rFonts w:hint="eastAsia" w:ascii="仿宋" w:hAnsi="仿宋" w:eastAsia="仿宋"/>
                <w:szCs w:val="21"/>
              </w:rPr>
              <w:t>合同复印件加盖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投标人</w:t>
            </w:r>
            <w:r>
              <w:rPr>
                <w:rFonts w:hint="eastAsia" w:ascii="仿宋" w:hAnsi="仿宋" w:eastAsia="仿宋"/>
                <w:szCs w:val="21"/>
              </w:rPr>
              <w:t>公章。</w:t>
            </w:r>
          </w:p>
          <w:p w14:paraId="61F3E202">
            <w:pPr>
              <w:numPr>
                <w:ilvl w:val="0"/>
                <w:numId w:val="0"/>
              </w:numPr>
              <w:rPr>
                <w:rFonts w:hint="eastAsia" w:ascii="仿宋" w:hAnsi="仿宋" w:eastAsia="仿宋"/>
                <w:szCs w:val="21"/>
              </w:rPr>
            </w:pPr>
          </w:p>
        </w:tc>
        <w:tc>
          <w:tcPr>
            <w:tcW w:w="1395" w:type="dxa"/>
            <w:vAlign w:val="center"/>
          </w:tcPr>
          <w:p w14:paraId="166E84FC">
            <w:pPr>
              <w:jc w:val="center"/>
              <w:rPr>
                <w:rFonts w:ascii="仿宋" w:hAnsi="仿宋" w:eastAsia="仿宋"/>
                <w:szCs w:val="21"/>
              </w:rPr>
            </w:pPr>
          </w:p>
        </w:tc>
      </w:tr>
    </w:tbl>
    <w:p w14:paraId="7FC514F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F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公文小标宋">
    <w:panose1 w:val="02000500000000000000"/>
    <w:charset w:val="86"/>
    <w:family w:val="auto"/>
    <w:pitch w:val="default"/>
    <w:sig w:usb0="A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D364E0"/>
    <w:rsid w:val="35D364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2025-10-24T04:18:00Z</dcterms:created>
  <dc:creator>邱玥</dc:creator>
  <cp:lastModifiedBy>邱玥</cp:lastModifiedBy>
  <dcterms:modified xsi:type="dcterms:W3CDTF">2025-10-24T04:19:12Z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1DCDAEA3A98E47578C40BB01400D6137_11</vt:lpwstr>
  </property>
  <property fmtid="{D5CDD505-2E9C-101B-9397-08002B2CF9AE}" pid="4" name="KSOTemplateDocerSaveRecord">
    <vt:lpwstr>eyJoZGlkIjoiN2M2MjlkYjNmNmFjZDMwZDk4ODY1Yzg4N2I5NTM0OGEiLCJ1c2VySWQiOiIyMDIzNzE1ODQifQ==</vt:lpwstr>
  </property>
</Properties>
</file>