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552CDB">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bookmarkStart w:id="0" w:name="_GoBack"/>
      <w:r>
        <w:rPr>
          <w:rFonts w:hint="eastAsia" w:ascii="黑体" w:hAnsi="黑体" w:eastAsia="黑体" w:cs="黑体"/>
          <w:b/>
          <w:bCs/>
          <w:kern w:val="0"/>
          <w:sz w:val="32"/>
          <w:szCs w:val="32"/>
          <w:highlight w:val="none"/>
          <w:lang w:val="en-US" w:eastAsia="zh-CN" w:bidi="ar-SA"/>
        </w:rPr>
        <w:t>附件一、项目需求</w:t>
      </w:r>
    </w:p>
    <w:bookmarkEnd w:id="0"/>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一、项目概述     </w:t>
      </w:r>
    </w:p>
    <w:p w14:paraId="67C16DE5">
      <w:pPr>
        <w:keepNext w:val="0"/>
        <w:keepLines w:val="0"/>
        <w:pageBreakBefore w:val="0"/>
        <w:widowControl/>
        <w:numPr>
          <w:ilvl w:val="255"/>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医院共15部电梯（9部客梯、2部观光梯、2部扶梯、2部食堂运行梯），为保障所有电梯在正常运行状态，拟采购电梯维保服务项目。</w:t>
      </w:r>
    </w:p>
    <w:p w14:paraId="48DD0D95">
      <w:pPr>
        <w:widowControl/>
        <w:numPr>
          <w:ilvl w:val="255"/>
          <w:numId w:val="0"/>
        </w:numPr>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045EC2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1.履约地点：采购人指定地点</w:t>
      </w:r>
    </w:p>
    <w:p w14:paraId="79CC21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2.服务期限：服务期三年，合同一年一签，年终采购人对供应商的服务情况做全面评价，评价合格，可协商签订下一年度合作合同。</w:t>
      </w:r>
    </w:p>
    <w:p w14:paraId="2DAEBE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3.付款方式</w:t>
      </w:r>
    </w:p>
    <w:p w14:paraId="3018704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合同签订后，供应商提供的项目实施方案经科室验收合格后，支付30%合同款项；年度维保服务完成，经科室评估合格后，支付剩余合同款项。</w:t>
      </w:r>
    </w:p>
    <w:p w14:paraId="02426A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4.其他要求</w:t>
      </w:r>
    </w:p>
    <w:p w14:paraId="2ED75F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4.1人员要求</w:t>
      </w:r>
    </w:p>
    <w:p w14:paraId="7F2541D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商须成立电梯维保项目组，至少包含1名项目负责人，1名技术负责人和1名维保人员，并提供上述人员的相关资格证书、履历等材料。供应商不得随意调整维保人员，如因工作需要进行调整，必须提前1个月书面告知采购人，经采购人同意后方能更换。</w:t>
      </w:r>
    </w:p>
    <w:p w14:paraId="3FA12A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4.2故障响应时限</w:t>
      </w:r>
    </w:p>
    <w:p w14:paraId="2B19C83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商须提供24小时的紧急维修应急响应服务，供应商应在接到采购人的通知后，在60分钟内到达现场处理故障，若故障有乘客困于设备内，供应商应在接到采购人的通知后在30分钟内到达现场处理故障。一般故障要求2小时内排除，如需更换配件须在48小时内完成，供应商承诺故障的电梯从报修起至正常运转不超过48小时。</w:t>
      </w:r>
    </w:p>
    <w:p w14:paraId="595EA4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4.3安全生产要求</w:t>
      </w:r>
    </w:p>
    <w:p w14:paraId="1F9D450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lang w:val="en-US" w:eastAsia="zh-CN"/>
        </w:rPr>
      </w:pPr>
      <w:r>
        <w:rPr>
          <w:rFonts w:hint="eastAsia" w:ascii="宋体" w:hAnsi="宋体" w:eastAsia="宋体" w:cs="宋体"/>
          <w:sz w:val="24"/>
          <w:szCs w:val="24"/>
          <w:lang w:val="en-US" w:eastAsia="zh-CN"/>
        </w:rPr>
        <w:t>供应商应严格遵守国家和地方有关安全生产的法律法规，确保维保服务过程中的人员安全和设备安全。对员工进行上岗培训、安全生产教育，经培训合格后方可上岗。对于国家具有强制要求的工种，拟上岗员工须具有相应资格和有效的资质证书。供应商技术人员在进行设备维修、安装、调试等工作时，应佩戴相应的安全防护用品，遵守安全操作规程，避免发生安全事故。如因供应商违反安全生产规定导致的安全事故，由供应商承担全部责任，并赔偿采购人因此遭受的一切损失，包括但不限于设备损坏、人员伤亡赔偿、停产停业损失等。</w:t>
      </w:r>
    </w:p>
    <w:p w14:paraId="126D4AE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三、项目要求</w:t>
      </w:r>
    </w:p>
    <w:p w14:paraId="60E696FD">
      <w:pPr>
        <w:spacing w:line="360" w:lineRule="auto"/>
        <w:ind w:right="-4" w:rightChars="-2"/>
        <w:rPr>
          <w:rFonts w:hint="eastAsia" w:ascii="宋体" w:hAnsi="宋体" w:eastAsia="宋体" w:cs="宋体"/>
          <w:b/>
          <w:color w:val="000000"/>
          <w:sz w:val="24"/>
          <w:szCs w:val="24"/>
          <w:highlight w:val="none"/>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b w:val="0"/>
          <w:bCs/>
          <w:color w:val="000000"/>
          <w:sz w:val="24"/>
          <w:szCs w:val="24"/>
          <w:highlight w:val="none"/>
          <w:lang w:val="en-US" w:eastAsia="zh-CN"/>
        </w:rPr>
        <w:t>1.维保项目清单</w:t>
      </w:r>
    </w:p>
    <w:tbl>
      <w:tblPr>
        <w:tblStyle w:val="3"/>
        <w:tblW w:w="94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
      <w:tblGrid>
        <w:gridCol w:w="752"/>
        <w:gridCol w:w="1917"/>
        <w:gridCol w:w="2791"/>
        <w:gridCol w:w="1339"/>
        <w:gridCol w:w="1339"/>
        <w:gridCol w:w="1339"/>
      </w:tblGrid>
      <w:tr w14:paraId="7FBD8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tblHeader/>
          <w:jc w:val="center"/>
        </w:trPr>
        <w:tc>
          <w:tcPr>
            <w:tcW w:w="752" w:type="dxa"/>
            <w:vMerge w:val="restart"/>
            <w:tcBorders>
              <w:top w:val="single" w:color="000000" w:sz="4" w:space="0"/>
              <w:left w:val="single" w:color="000000" w:sz="4" w:space="0"/>
              <w:bottom w:val="single" w:color="000000" w:sz="4" w:space="0"/>
              <w:right w:val="single" w:color="000000" w:sz="4" w:space="0"/>
            </w:tcBorders>
            <w:noWrap/>
            <w:vAlign w:val="center"/>
          </w:tcPr>
          <w:p w14:paraId="5A82EDCB">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791" w:type="dxa"/>
            <w:gridSpan w:val="2"/>
            <w:tcBorders>
              <w:top w:val="single" w:color="000000" w:sz="4" w:space="0"/>
              <w:left w:val="single" w:color="000000" w:sz="4" w:space="0"/>
              <w:bottom w:val="single" w:color="000000" w:sz="4" w:space="0"/>
              <w:right w:val="single" w:color="000000" w:sz="4" w:space="0"/>
            </w:tcBorders>
            <w:noWrap/>
            <w:vAlign w:val="center"/>
          </w:tcPr>
          <w:p w14:paraId="031B3CC2">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设备信息</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2B0B48E">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出厂信息</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14ED9859">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技术参数</w:t>
            </w:r>
          </w:p>
        </w:tc>
        <w:tc>
          <w:tcPr>
            <w:tcW w:w="1339" w:type="dxa"/>
            <w:vMerge w:val="restart"/>
            <w:tcBorders>
              <w:top w:val="single" w:color="000000" w:sz="4" w:space="0"/>
              <w:left w:val="single" w:color="000000" w:sz="4" w:space="0"/>
              <w:bottom w:val="single" w:color="000000" w:sz="4" w:space="0"/>
              <w:right w:val="single" w:color="000000" w:sz="4" w:space="0"/>
            </w:tcBorders>
            <w:noWrap/>
            <w:vAlign w:val="center"/>
          </w:tcPr>
          <w:p w14:paraId="650070DD">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电梯位置</w:t>
            </w:r>
          </w:p>
        </w:tc>
      </w:tr>
      <w:tr w14:paraId="47420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tblHeader/>
          <w:jc w:val="center"/>
        </w:trPr>
        <w:tc>
          <w:tcPr>
            <w:tcW w:w="752" w:type="dxa"/>
            <w:vMerge w:val="continue"/>
            <w:tcBorders>
              <w:top w:val="single" w:color="000000" w:sz="4" w:space="0"/>
              <w:left w:val="single" w:color="000000" w:sz="4" w:space="0"/>
              <w:bottom w:val="single" w:color="000000" w:sz="4" w:space="0"/>
              <w:right w:val="single" w:color="000000" w:sz="4" w:space="0"/>
            </w:tcBorders>
            <w:noWrap/>
            <w:vAlign w:val="center"/>
          </w:tcPr>
          <w:p w14:paraId="6A83B251">
            <w:pPr>
              <w:snapToGrid w:val="0"/>
              <w:jc w:val="center"/>
              <w:rPr>
                <w:rFonts w:hint="eastAsia" w:ascii="宋体" w:hAnsi="宋体" w:eastAsia="宋体" w:cs="宋体"/>
                <w:b/>
                <w:bCs/>
                <w:i w:val="0"/>
                <w:iCs w:val="0"/>
                <w:color w:val="000000"/>
                <w:sz w:val="22"/>
                <w:szCs w:val="22"/>
                <w:u w:val="none"/>
                <w:lang w:eastAsia="zh-CN"/>
              </w:rPr>
            </w:pP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36F6B703">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电梯品牌</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512D6660">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电梯型号</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0CF0F26">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制造日期</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18EC0123">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层站数</w:t>
            </w:r>
          </w:p>
        </w:tc>
        <w:tc>
          <w:tcPr>
            <w:tcW w:w="1339" w:type="dxa"/>
            <w:vMerge w:val="continue"/>
            <w:tcBorders>
              <w:top w:val="single" w:color="000000" w:sz="4" w:space="0"/>
              <w:left w:val="single" w:color="000000" w:sz="4" w:space="0"/>
              <w:bottom w:val="single" w:color="000000" w:sz="4" w:space="0"/>
              <w:right w:val="single" w:color="000000" w:sz="4" w:space="0"/>
            </w:tcBorders>
            <w:noWrap/>
            <w:vAlign w:val="center"/>
          </w:tcPr>
          <w:p w14:paraId="44B589BE">
            <w:pPr>
              <w:snapToGrid w:val="0"/>
              <w:jc w:val="center"/>
              <w:rPr>
                <w:rFonts w:hint="eastAsia" w:ascii="宋体" w:hAnsi="宋体" w:eastAsia="宋体" w:cs="宋体"/>
                <w:b/>
                <w:bCs/>
                <w:i w:val="0"/>
                <w:iCs w:val="0"/>
                <w:color w:val="000000"/>
                <w:sz w:val="22"/>
                <w:szCs w:val="22"/>
                <w:u w:val="none"/>
                <w:lang w:eastAsia="zh-CN"/>
              </w:rPr>
            </w:pPr>
          </w:p>
        </w:tc>
      </w:tr>
      <w:tr w14:paraId="4B16D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3C432438">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1</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46003930">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0B8DD340">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 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0CB2F18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D0CC16A">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8层8站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0FD8FE0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541E7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6586CD52">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2</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3A798351">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692B9555">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 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944E90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4BEE22A">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4层4站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39D18941">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478E6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32E5BFEB">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3</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3C48FBD0">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6841004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 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1925AEF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F64562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4层4站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6A552255">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7D4E6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12A88EBC">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4</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64E7F9C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5B6018F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 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6E8280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82A66C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8层8站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084ACF2E">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2B4A8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74775A27">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5</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185D9AE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77194002">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 MONOSPACE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229985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2014.11</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552A778">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2层2站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4A4EC2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14:paraId="76B64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28D0848F">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6</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63950D82">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3935F0F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 MONOSPACE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AD8D50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2014.11</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7B62BF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2层2站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111DAC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05009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0AE66F5C">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7</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0B8715CA">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1661C626">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993316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3F6221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8层8站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67BBDE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D4</w:t>
            </w:r>
          </w:p>
        </w:tc>
      </w:tr>
      <w:tr w14:paraId="7526C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7A582615">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8</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41E255BE">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71EE69F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26AC380A">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2013.04</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056D5AF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8层8站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38DB187">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D1</w:t>
            </w:r>
          </w:p>
        </w:tc>
      </w:tr>
      <w:tr w14:paraId="00F40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4E90AB4D">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9</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6938124E">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654AC28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0C0FED0C">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6DA03BD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8层8站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3487457C">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D2</w:t>
            </w:r>
          </w:p>
        </w:tc>
      </w:tr>
      <w:tr w14:paraId="02A57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49979CBC">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10</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35A1C43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5EA16C8E">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3BD2946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5042FC2">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8层8站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53466E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D3</w:t>
            </w:r>
          </w:p>
        </w:tc>
      </w:tr>
      <w:tr w14:paraId="437DC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5CCFB756">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11</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425FCEFC">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60C3695E">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KONE MINISPACE</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50AA992A">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2013.07</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05DF392E">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8层8站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03EA33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D9</w:t>
            </w:r>
          </w:p>
        </w:tc>
      </w:tr>
      <w:tr w14:paraId="32D3C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5BB49715">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12</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3474D88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河北东奥电梯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05F3F1A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TWJ-1</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64BE039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2023.08</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CD04F4C">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2层2站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59A357A">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食堂2#</w:t>
            </w:r>
          </w:p>
        </w:tc>
      </w:tr>
      <w:tr w14:paraId="12C77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49B16625">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13</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3D280FF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河北东奥电梯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30F619C0">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TWJ-1</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7D78CE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2023.08</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DBE6C52">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2层2站</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10C1E6D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食堂1#</w:t>
            </w:r>
          </w:p>
        </w:tc>
      </w:tr>
      <w:tr w14:paraId="1F303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302851F1">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14</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2FA2E77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12F081A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TravelMasterTM 110</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1387EBD0">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077839A1">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65AC3BA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E1</w:t>
            </w:r>
          </w:p>
        </w:tc>
      </w:tr>
      <w:tr w14:paraId="24A3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52" w:type="dxa"/>
            <w:tcBorders>
              <w:top w:val="single" w:color="000000" w:sz="4" w:space="0"/>
              <w:left w:val="single" w:color="000000" w:sz="4" w:space="0"/>
              <w:bottom w:val="single" w:color="000000" w:sz="4" w:space="0"/>
              <w:right w:val="single" w:color="000000" w:sz="4" w:space="0"/>
            </w:tcBorders>
            <w:noWrap/>
            <w:vAlign w:val="center"/>
          </w:tcPr>
          <w:p w14:paraId="5E86AF55">
            <w:pPr>
              <w:keepNext w:val="0"/>
              <w:keepLines w:val="0"/>
              <w:widowControl/>
              <w:suppressLineNumbers w:val="0"/>
              <w:snapToGrid w:val="0"/>
              <w:jc w:val="center"/>
              <w:textAlignment w:val="center"/>
              <w:rPr>
                <w:rFonts w:hint="eastAsia" w:ascii="宋体" w:hAnsi="宋体" w:eastAsia="宋体" w:cs="宋体"/>
                <w:i w:val="0"/>
                <w:iCs w:val="0"/>
                <w:color w:val="000000"/>
                <w:sz w:val="22"/>
                <w:szCs w:val="24"/>
                <w:u w:val="none"/>
              </w:rPr>
            </w:pPr>
            <w:r>
              <w:rPr>
                <w:rFonts w:hint="eastAsia" w:ascii="宋体" w:hAnsi="宋体" w:eastAsia="宋体" w:cs="宋体"/>
                <w:i w:val="0"/>
                <w:iCs w:val="0"/>
                <w:color w:val="000000"/>
                <w:kern w:val="0"/>
                <w:sz w:val="22"/>
                <w:szCs w:val="24"/>
                <w:u w:val="none"/>
                <w:lang w:val="en-US" w:eastAsia="zh-CN" w:bidi="ar"/>
              </w:rPr>
              <w:t>15</w:t>
            </w:r>
          </w:p>
        </w:tc>
        <w:tc>
          <w:tcPr>
            <w:tcW w:w="1917" w:type="dxa"/>
            <w:tcBorders>
              <w:top w:val="single" w:color="000000" w:sz="4" w:space="0"/>
              <w:left w:val="single" w:color="000000" w:sz="4" w:space="0"/>
              <w:bottom w:val="single" w:color="000000" w:sz="4" w:space="0"/>
              <w:right w:val="single" w:color="000000" w:sz="4" w:space="0"/>
            </w:tcBorders>
            <w:noWrap/>
            <w:vAlign w:val="center"/>
          </w:tcPr>
          <w:p w14:paraId="6A80E145">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通力电梯</w:t>
            </w:r>
          </w:p>
        </w:tc>
        <w:tc>
          <w:tcPr>
            <w:tcW w:w="2791" w:type="dxa"/>
            <w:tcBorders>
              <w:top w:val="single" w:color="000000" w:sz="4" w:space="0"/>
              <w:left w:val="single" w:color="000000" w:sz="4" w:space="0"/>
              <w:bottom w:val="single" w:color="000000" w:sz="4" w:space="0"/>
              <w:right w:val="single" w:color="000000" w:sz="4" w:space="0"/>
            </w:tcBorders>
            <w:noWrap/>
            <w:vAlign w:val="center"/>
          </w:tcPr>
          <w:p w14:paraId="43ECBF1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TravelMasterTM 110</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3BDC9C87">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2014.09</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73C16AA5">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扶梯</w:t>
            </w:r>
          </w:p>
        </w:tc>
        <w:tc>
          <w:tcPr>
            <w:tcW w:w="1339" w:type="dxa"/>
            <w:tcBorders>
              <w:top w:val="single" w:color="000000" w:sz="4" w:space="0"/>
              <w:left w:val="single" w:color="000000" w:sz="4" w:space="0"/>
              <w:bottom w:val="single" w:color="000000" w:sz="4" w:space="0"/>
              <w:right w:val="single" w:color="000000" w:sz="4" w:space="0"/>
            </w:tcBorders>
            <w:noWrap/>
            <w:vAlign w:val="center"/>
          </w:tcPr>
          <w:p w14:paraId="4CEC355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E2</w:t>
            </w:r>
          </w:p>
        </w:tc>
      </w:tr>
    </w:tbl>
    <w:p w14:paraId="160E18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2.维保内容及要求</w:t>
      </w:r>
    </w:p>
    <w:p w14:paraId="297F1019">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2.1供应商应拟定电梯维护保养计划及方案，并按照《特种设备使用管理规则》TSG 08-2017、《电梯维护保养规则》TSG T5002-2017、及相关法律法规、安全技术规范的规定，完成半月维保、季度维保、半年维保、年度维保项目。维护保养的周期应根据电梯使用情况、工作环境而定，但只可增加，不能减少。</w:t>
      </w:r>
    </w:p>
    <w:p w14:paraId="79BE0708">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供应商应按服务要求内容定期对电梯进行维护保养，为每台电梯建档，每次维护保养工作，供应商应在成都市场监督管理特种设备监管平台上传维保记录，并由采购人签字确认；每年需提供一份电梯维保总结情况报告。</w:t>
      </w:r>
    </w:p>
    <w:p w14:paraId="66511A22">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val="en-US" w:eastAsia="zh-CN"/>
        </w:rPr>
        <w:t>2.3供应商应于电梯检验前2月向成都市特种设备检验检测研究院申报检验，并配合完成检验工作，年检费用已包含在总价之中，采购人不再另行支付。</w:t>
      </w:r>
    </w:p>
    <w:p w14:paraId="27F410AD">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val="en-US" w:eastAsia="zh-CN"/>
        </w:rPr>
        <w:t>2.4供</w:t>
      </w:r>
      <w:r>
        <w:rPr>
          <w:rFonts w:hint="eastAsia" w:ascii="宋体" w:hAnsi="宋体" w:eastAsia="宋体" w:cs="宋体"/>
          <w:sz w:val="24"/>
          <w:szCs w:val="24"/>
          <w:highlight w:val="none"/>
          <w:lang w:val="en-US" w:eastAsia="zh-CN"/>
        </w:rPr>
        <w:t>应商在成交后需对所维护保养的15台电梯购买《电梯安全责任险》。每年服务期合同签订时购买《电梯安全责任险》，时限为购买之日起一年，费用已包含在总价之中，采购人不再另行支付。</w:t>
      </w:r>
      <w:r>
        <w:rPr>
          <w:rFonts w:hint="eastAsia" w:ascii="宋体" w:hAnsi="宋体" w:eastAsia="宋体" w:cs="宋体"/>
          <w:b/>
          <w:bCs/>
          <w:sz w:val="24"/>
          <w:szCs w:val="24"/>
          <w:highlight w:val="none"/>
          <w:lang w:val="en-US" w:eastAsia="zh-CN"/>
        </w:rPr>
        <w:t>（提供承诺函加盖供应商公章）</w:t>
      </w:r>
    </w:p>
    <w:p w14:paraId="75413B63">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2.5根据采购人实际需要提供电梯操作的系统培训。采购人有重大活动或迎检时，维保单位需派专门的维修技术人员到达现场，免费提供全程监护服务。</w:t>
      </w:r>
    </w:p>
    <w:p w14:paraId="7D589B3E">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2.6供应商协助采购人制定电梯安全管理制度、制定应急措施和救援预案，每年开展至少一次电梯应急演练。</w:t>
      </w:r>
    </w:p>
    <w:p w14:paraId="01B4372A">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2.7供应商应根据采购人电梯的具体状况储存合理数量的备品备件，以进行必要的更换。维保人员到达现场后，一般故障要求2小时内排除，如需更换配件须在48小时内完成，供应商承诺故障的电梯从报修起至正常运转不超过48小时。</w:t>
      </w:r>
    </w:p>
    <w:p w14:paraId="5DDC5DF4">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2.8供应商应完成相关监管部门安排的电梯有关事项，并及时完成申报工作。</w:t>
      </w:r>
    </w:p>
    <w:p w14:paraId="45F2DC2B">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val="en-US" w:eastAsia="zh-CN"/>
        </w:rPr>
        <w:t>2.9在维护保养中，若有需要更换的部件配件等，单个材料费低于（含）400元的，由供应商承担（提供承诺函以及常用备品备件清单）；高于400元以上的设备、材料，采购人有权要求供应商进行代购或另聘其他单位提供，在更换设备、材料采购到位后，供应商应立即作出反应，并使系统尽快投入正常工作，费用由采购人承担。</w:t>
      </w:r>
    </w:p>
    <w:p w14:paraId="7B9F7E65">
      <w:pPr>
        <w:keepLines w:val="0"/>
        <w:pageBreakBefore w:val="0"/>
        <w:kinsoku/>
        <w:wordWrap/>
        <w:overflowPunct/>
        <w:topLinePunct w:val="0"/>
        <w:autoSpaceDE/>
        <w:autoSpaceDN/>
        <w:bidi w:val="0"/>
        <w:adjustRightInd/>
        <w:spacing w:line="480" w:lineRule="exact"/>
        <w:ind w:right="-4" w:rightChars="-2" w:firstLine="240" w:firstLineChars="100"/>
        <w:rPr>
          <w:rFonts w:hint="default" w:ascii="Times New Roman" w:hAnsi="Times New Roman" w:eastAsia="宋体" w:cs="Times New Roman"/>
          <w:b/>
          <w:color w:val="000000"/>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val="en-US" w:eastAsia="zh-CN"/>
        </w:rPr>
        <w:t>3.其他约定事项</w:t>
      </w:r>
    </w:p>
    <w:p w14:paraId="096FB8DB">
      <w:pPr>
        <w:keepLines w:val="0"/>
        <w:pageBreakBefore w:val="0"/>
        <w:kinsoku/>
        <w:wordWrap/>
        <w:overflowPunct/>
        <w:topLinePunct w:val="0"/>
        <w:autoSpaceDE/>
        <w:autoSpaceDN/>
        <w:bidi w:val="0"/>
        <w:adjustRightInd/>
        <w:spacing w:line="480" w:lineRule="exact"/>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3.1供应商未能按照合同要求履行维护保养义务及其它约定事项，每发生一次，采购人从应付款项中优先扣除</w:t>
      </w:r>
      <w:r>
        <w:rPr>
          <w:rFonts w:hint="eastAsia" w:ascii="宋体" w:hAnsi="宋体" w:eastAsia="宋体" w:cs="宋体"/>
          <w:color w:val="auto"/>
          <w:kern w:val="2"/>
          <w:sz w:val="24"/>
          <w:szCs w:val="24"/>
          <w:highlight w:val="none"/>
          <w:u w:val="none"/>
          <w:lang w:val="en-US" w:eastAsia="zh-CN" w:bidi="ar-SA"/>
        </w:rPr>
        <w:t>500元</w:t>
      </w:r>
      <w:r>
        <w:rPr>
          <w:rFonts w:hint="eastAsia" w:ascii="宋体" w:hAnsi="宋体" w:eastAsia="宋体" w:cs="宋体"/>
          <w:color w:val="auto"/>
          <w:kern w:val="2"/>
          <w:sz w:val="24"/>
          <w:szCs w:val="24"/>
          <w:highlight w:val="none"/>
          <w:lang w:val="en-US" w:eastAsia="zh-CN" w:bidi="ar-SA"/>
        </w:rPr>
        <w:t>，违约金不足以弥补损失的，还应按实际损失足额弥补。</w:t>
      </w:r>
    </w:p>
    <w:p w14:paraId="7F648517">
      <w:pPr>
        <w:keepLines w:val="0"/>
        <w:pageBreakBefore w:val="0"/>
        <w:kinsoku/>
        <w:wordWrap/>
        <w:overflowPunct/>
        <w:topLinePunct w:val="0"/>
        <w:autoSpaceDE/>
        <w:autoSpaceDN/>
        <w:bidi w:val="0"/>
        <w:adjustRightInd/>
        <w:spacing w:line="480" w:lineRule="exact"/>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3.2在接到，采购人电梯故障报修后，供应商未能在合同约定时间内到达故障现场，每发生一次，采购人从应付款项中优先扣除</w:t>
      </w:r>
      <w:r>
        <w:rPr>
          <w:rFonts w:hint="eastAsia" w:ascii="宋体" w:hAnsi="宋体" w:eastAsia="宋体" w:cs="宋体"/>
          <w:color w:val="auto"/>
          <w:kern w:val="2"/>
          <w:sz w:val="24"/>
          <w:szCs w:val="24"/>
          <w:highlight w:val="none"/>
          <w:u w:val="none"/>
          <w:lang w:val="en-US" w:eastAsia="zh-CN" w:bidi="ar-SA"/>
        </w:rPr>
        <w:t>500</w:t>
      </w:r>
      <w:r>
        <w:rPr>
          <w:rFonts w:hint="eastAsia" w:ascii="宋体" w:hAnsi="宋体" w:eastAsia="宋体" w:cs="宋体"/>
          <w:color w:val="auto"/>
          <w:kern w:val="2"/>
          <w:sz w:val="24"/>
          <w:szCs w:val="24"/>
          <w:highlight w:val="none"/>
          <w:lang w:val="en-US" w:eastAsia="zh-CN" w:bidi="ar-SA"/>
        </w:rPr>
        <w:t>元，违约金不足以弥补损失的，还应按实际损失足额弥补。</w:t>
      </w:r>
    </w:p>
    <w:p w14:paraId="36970A50">
      <w:pPr>
        <w:keepLines w:val="0"/>
        <w:pageBreakBefore w:val="0"/>
        <w:kinsoku/>
        <w:wordWrap/>
        <w:overflowPunct/>
        <w:topLinePunct w:val="0"/>
        <w:autoSpaceDE/>
        <w:autoSpaceDN/>
        <w:bidi w:val="0"/>
        <w:adjustRightInd/>
        <w:spacing w:line="480" w:lineRule="exact"/>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3.3电梯困人时，供应商在接到医院通知后半小时未成功解救，每发生一次，采购人有权从应付款项中优先扣除</w:t>
      </w:r>
      <w:r>
        <w:rPr>
          <w:rFonts w:hint="eastAsia" w:ascii="宋体" w:hAnsi="宋体" w:eastAsia="宋体" w:cs="宋体"/>
          <w:color w:val="auto"/>
          <w:kern w:val="2"/>
          <w:sz w:val="24"/>
          <w:szCs w:val="24"/>
          <w:highlight w:val="none"/>
          <w:u w:val="none"/>
          <w:lang w:val="en-US" w:eastAsia="zh-CN" w:bidi="ar-SA"/>
        </w:rPr>
        <w:t>1000</w:t>
      </w:r>
      <w:r>
        <w:rPr>
          <w:rFonts w:hint="eastAsia" w:ascii="宋体" w:hAnsi="宋体" w:eastAsia="宋体" w:cs="宋体"/>
          <w:color w:val="auto"/>
          <w:kern w:val="2"/>
          <w:sz w:val="24"/>
          <w:szCs w:val="24"/>
          <w:highlight w:val="none"/>
          <w:lang w:val="en-US" w:eastAsia="zh-CN" w:bidi="ar-SA"/>
        </w:rPr>
        <w:t>元，违约金不足以弥补损失的，还应按实际损失足额弥补。因电梯困人，造成被困人员索赔的，由供应商负责解决或赔偿。</w:t>
      </w:r>
    </w:p>
    <w:p w14:paraId="3BF7A505">
      <w:pPr>
        <w:keepLines w:val="0"/>
        <w:pageBreakBefore w:val="0"/>
        <w:kinsoku/>
        <w:wordWrap/>
        <w:overflowPunct/>
        <w:topLinePunct w:val="0"/>
        <w:autoSpaceDE/>
        <w:autoSpaceDN/>
        <w:bidi w:val="0"/>
        <w:adjustRightInd/>
        <w:spacing w:line="480" w:lineRule="exact"/>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3.4因供应商维修保养不到位导致同一故障短时间内（1周内）连续出现3次，每发生一次，采购人有权从应付款项中优先扣除</w:t>
      </w:r>
      <w:r>
        <w:rPr>
          <w:rFonts w:hint="eastAsia" w:ascii="宋体" w:hAnsi="宋体" w:eastAsia="宋体" w:cs="宋体"/>
          <w:color w:val="auto"/>
          <w:kern w:val="2"/>
          <w:sz w:val="24"/>
          <w:szCs w:val="24"/>
          <w:highlight w:val="none"/>
          <w:u w:val="none"/>
          <w:lang w:val="en-US" w:eastAsia="zh-CN" w:bidi="ar-SA"/>
        </w:rPr>
        <w:t>500</w:t>
      </w:r>
      <w:r>
        <w:rPr>
          <w:rFonts w:hint="eastAsia" w:ascii="宋体" w:hAnsi="宋体" w:eastAsia="宋体" w:cs="宋体"/>
          <w:color w:val="auto"/>
          <w:kern w:val="2"/>
          <w:sz w:val="24"/>
          <w:szCs w:val="24"/>
          <w:highlight w:val="none"/>
          <w:lang w:val="en-US" w:eastAsia="zh-CN" w:bidi="ar-SA"/>
        </w:rPr>
        <w:t>元，违约金不足以弥补损失的，还应按实际损失足额弥补。</w:t>
      </w:r>
    </w:p>
    <w:p w14:paraId="6E076179">
      <w:pPr>
        <w:keepLines w:val="0"/>
        <w:pageBreakBefore w:val="0"/>
        <w:kinsoku/>
        <w:wordWrap/>
        <w:overflowPunct/>
        <w:topLinePunct w:val="0"/>
        <w:autoSpaceDE/>
        <w:autoSpaceDN/>
        <w:bidi w:val="0"/>
        <w:adjustRightInd/>
        <w:spacing w:line="480" w:lineRule="exact"/>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3.5供应商未能按照合同要求履行维修义务，或经采购人查实虚报维修事项的，每发生一次，采购人从应付款项中优先扣除</w:t>
      </w:r>
      <w:r>
        <w:rPr>
          <w:rFonts w:hint="eastAsia" w:ascii="宋体" w:hAnsi="宋体" w:eastAsia="宋体" w:cs="宋体"/>
          <w:color w:val="auto"/>
          <w:kern w:val="2"/>
          <w:sz w:val="24"/>
          <w:szCs w:val="24"/>
          <w:highlight w:val="none"/>
          <w:u w:val="none"/>
          <w:lang w:val="en-US" w:eastAsia="zh-CN" w:bidi="ar-SA"/>
        </w:rPr>
        <w:t>2000</w:t>
      </w:r>
      <w:r>
        <w:rPr>
          <w:rFonts w:hint="eastAsia" w:ascii="宋体" w:hAnsi="宋体" w:eastAsia="宋体" w:cs="宋体"/>
          <w:color w:val="auto"/>
          <w:kern w:val="2"/>
          <w:sz w:val="24"/>
          <w:szCs w:val="24"/>
          <w:highlight w:val="none"/>
          <w:lang w:val="en-US" w:eastAsia="zh-CN" w:bidi="ar-SA"/>
        </w:rPr>
        <w:t>元。</w:t>
      </w:r>
    </w:p>
    <w:p w14:paraId="6838E576">
      <w:pPr>
        <w:keepLines w:val="0"/>
        <w:pageBreakBefore w:val="0"/>
        <w:kinsoku/>
        <w:wordWrap/>
        <w:overflowPunct/>
        <w:topLinePunct w:val="0"/>
        <w:autoSpaceDE/>
        <w:autoSpaceDN/>
        <w:bidi w:val="0"/>
        <w:adjustRightInd/>
        <w:spacing w:line="480" w:lineRule="exact"/>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3.6维保人员必须服从采购人的现场管理，及时清理产生的垃圾，否则，每发生一次，采购人从应付款项中优先扣除</w:t>
      </w:r>
      <w:r>
        <w:rPr>
          <w:rFonts w:hint="eastAsia" w:ascii="宋体" w:hAnsi="宋体" w:eastAsia="宋体" w:cs="宋体"/>
          <w:color w:val="auto"/>
          <w:kern w:val="2"/>
          <w:sz w:val="24"/>
          <w:szCs w:val="24"/>
          <w:highlight w:val="none"/>
          <w:u w:val="none"/>
          <w:lang w:val="en-US" w:eastAsia="zh-CN" w:bidi="ar-SA"/>
        </w:rPr>
        <w:t>100</w:t>
      </w:r>
      <w:r>
        <w:rPr>
          <w:rFonts w:hint="eastAsia" w:ascii="宋体" w:hAnsi="宋体" w:eastAsia="宋体" w:cs="宋体"/>
          <w:color w:val="auto"/>
          <w:kern w:val="2"/>
          <w:sz w:val="24"/>
          <w:szCs w:val="24"/>
          <w:highlight w:val="none"/>
          <w:lang w:val="en-US" w:eastAsia="zh-CN" w:bidi="ar-SA"/>
        </w:rPr>
        <w:t>元，违约金不足以弥补损失的，还应按实际损失足额弥补。</w:t>
      </w:r>
    </w:p>
    <w:p w14:paraId="5757449B">
      <w:pPr>
        <w:keepLines w:val="0"/>
        <w:pageBreakBefore w:val="0"/>
        <w:kinsoku/>
        <w:wordWrap/>
        <w:overflowPunct/>
        <w:topLinePunct w:val="0"/>
        <w:autoSpaceDE/>
        <w:autoSpaceDN/>
        <w:bidi w:val="0"/>
        <w:adjustRightInd/>
        <w:spacing w:line="480" w:lineRule="exact"/>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3.7供应商在维护保养过程中造成的人员伤亡或设备损坏丢失的，由供应商承担相应赔偿及法律责任，同时采购人有权无责任解除合同。</w:t>
      </w:r>
    </w:p>
    <w:p w14:paraId="1FEB6E7A">
      <w:pPr>
        <w:keepLines w:val="0"/>
        <w:pageBreakBefore w:val="0"/>
        <w:kinsoku/>
        <w:wordWrap/>
        <w:overflowPunct/>
        <w:topLinePunct w:val="0"/>
        <w:autoSpaceDE/>
        <w:autoSpaceDN/>
        <w:bidi w:val="0"/>
        <w:adjustRightInd/>
        <w:spacing w:line="480" w:lineRule="exact"/>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3.8因供应商维护保养不到位或未及时更换故障部件导致人员伤亡或设备损坏，由供应商承担相应赔偿及法律责任，同时采购人有权无责任解除合同。</w:t>
      </w:r>
    </w:p>
    <w:p w14:paraId="512170CA">
      <w:pPr>
        <w:pStyle w:val="2"/>
        <w:rPr>
          <w:rFonts w:hint="eastAsia"/>
          <w:lang w:val="en-US" w:eastAsia="zh-CN"/>
        </w:rPr>
      </w:pPr>
    </w:p>
    <w:p w14:paraId="18BB0678">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D0A664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D6C1DA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C6AE255">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C4BDB45">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A87C594">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BAFDD21">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E8A185A">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2FDD942">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323E277">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170AC5E">
      <w:pPr>
        <w:rPr>
          <w:rFonts w:hint="eastAsia"/>
          <w:lang w:val="en-US" w:eastAsia="zh-CN"/>
        </w:rPr>
      </w:pPr>
    </w:p>
    <w:p w14:paraId="0CA57E10">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7B628F9">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337DD1F">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602010C9">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3D8EE0BA"/>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291CD4"/>
    <w:rsid w:val="34291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2025-10-24T04:11:00Z</dcterms:created>
  <dc:creator>邱玥</dc:creator>
  <cp:lastModifiedBy>邱玥</cp:lastModifiedBy>
  <dcterms:modified xsi:type="dcterms:W3CDTF">2025-10-24T04:11:36Z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89CCED63EE9144E1B38C3C3DE403DBBC_11</vt:lpwstr>
  </property>
  <property fmtid="{D5CDD505-2E9C-101B-9397-08002B2CF9AE}" pid="4" name="KSOTemplateDocerSaveRecord">
    <vt:lpwstr>eyJoZGlkIjoiN2M2MjlkYjNmNmFjZDMwZDk4ODY1Yzg4N2I5NTM0OGEiLCJ1c2VySWQiOiIyMDIzNzE1ODQifQ==</vt:lpwstr>
  </property>
</Properties>
</file>