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3"/>
        <w:tblW w:w="492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022"/>
        <w:gridCol w:w="441"/>
        <w:gridCol w:w="4708"/>
        <w:gridCol w:w="1790"/>
      </w:tblGrid>
      <w:tr w14:paraId="0FD02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55" w:type="pct"/>
            <w:noWrap/>
            <w:vAlign w:val="center"/>
          </w:tcPr>
          <w:p w14:paraId="149A9E18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09" w:type="pct"/>
            <w:noWrap/>
            <w:vAlign w:val="center"/>
          </w:tcPr>
          <w:p w14:paraId="361FAD35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</w:rPr>
              <w:t>评分因素及权重</w:t>
            </w:r>
          </w:p>
        </w:tc>
        <w:tc>
          <w:tcPr>
            <w:tcW w:w="262" w:type="pct"/>
            <w:noWrap/>
            <w:vAlign w:val="center"/>
          </w:tcPr>
          <w:p w14:paraId="410ACCC4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2806" w:type="pct"/>
            <w:noWrap/>
            <w:vAlign w:val="center"/>
          </w:tcPr>
          <w:p w14:paraId="49A7206B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</w:rPr>
              <w:t>评分标准</w:t>
            </w:r>
          </w:p>
        </w:tc>
        <w:tc>
          <w:tcPr>
            <w:tcW w:w="1066" w:type="pct"/>
            <w:noWrap/>
            <w:vAlign w:val="center"/>
          </w:tcPr>
          <w:p w14:paraId="629A5628"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</w:rPr>
              <w:t>备注</w:t>
            </w:r>
          </w:p>
        </w:tc>
      </w:tr>
      <w:tr w14:paraId="2BDEA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255" w:type="pct"/>
            <w:noWrap/>
            <w:vAlign w:val="center"/>
          </w:tcPr>
          <w:p w14:paraId="71C6E10C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1</w:t>
            </w:r>
          </w:p>
        </w:tc>
        <w:tc>
          <w:tcPr>
            <w:tcW w:w="609" w:type="pct"/>
            <w:noWrap/>
            <w:vAlign w:val="center"/>
          </w:tcPr>
          <w:p w14:paraId="6D4E7A9A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报价（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" w:cs="仿宋"/>
                <w:sz w:val="24"/>
              </w:rPr>
              <w:t>%）</w:t>
            </w:r>
          </w:p>
        </w:tc>
        <w:tc>
          <w:tcPr>
            <w:tcW w:w="262" w:type="pct"/>
            <w:noWrap/>
            <w:vAlign w:val="center"/>
          </w:tcPr>
          <w:p w14:paraId="3D2F38CC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" w:cs="仿宋"/>
                <w:sz w:val="24"/>
              </w:rPr>
              <w:t>分</w:t>
            </w:r>
          </w:p>
        </w:tc>
        <w:tc>
          <w:tcPr>
            <w:tcW w:w="2806" w:type="pct"/>
            <w:noWrap/>
            <w:vAlign w:val="center"/>
          </w:tcPr>
          <w:p w14:paraId="090CB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满足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招标</w:t>
            </w:r>
            <w:r>
              <w:rPr>
                <w:rFonts w:hint="eastAsia" w:ascii="Times New Roman" w:hAnsi="Times New Roman" w:eastAsia="仿宋" w:cs="仿宋"/>
                <w:sz w:val="24"/>
              </w:rPr>
              <w:t>文件要求且价格最低的响应报价为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评审</w:t>
            </w:r>
            <w:r>
              <w:rPr>
                <w:rFonts w:hint="eastAsia" w:ascii="Times New Roman" w:hAnsi="Times New Roman" w:eastAsia="仿宋" w:cs="仿宋"/>
                <w:sz w:val="24"/>
              </w:rPr>
              <w:t>基准价，其价格分为满分。其他供应商的价格分统一按照下列公式计算：报价得分=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评审</w:t>
            </w:r>
            <w:r>
              <w:rPr>
                <w:rFonts w:hint="eastAsia" w:ascii="Times New Roman" w:hAnsi="Times New Roman" w:eastAsia="仿宋" w:cs="仿宋"/>
                <w:sz w:val="24"/>
              </w:rPr>
              <w:t>基准价／最后报价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="仿宋" w:cs="仿宋"/>
                <w:sz w:val="24"/>
              </w:rPr>
              <w:t>×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" w:cs="仿宋"/>
                <w:sz w:val="24"/>
              </w:rPr>
              <w:t>×100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%</w:t>
            </w:r>
          </w:p>
        </w:tc>
        <w:tc>
          <w:tcPr>
            <w:tcW w:w="1066" w:type="pct"/>
            <w:noWrap/>
            <w:vAlign w:val="center"/>
          </w:tcPr>
          <w:p w14:paraId="4D428DA3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</w:p>
        </w:tc>
      </w:tr>
      <w:tr w14:paraId="1A09D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255" w:type="pct"/>
            <w:noWrap/>
            <w:vAlign w:val="center"/>
          </w:tcPr>
          <w:p w14:paraId="4C27453F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2</w:t>
            </w:r>
          </w:p>
        </w:tc>
        <w:tc>
          <w:tcPr>
            <w:tcW w:w="609" w:type="pct"/>
            <w:noWrap/>
            <w:vAlign w:val="center"/>
          </w:tcPr>
          <w:p w14:paraId="5CCBC9FE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类似业绩</w:t>
            </w:r>
            <w:r>
              <w:rPr>
                <w:rFonts w:hint="eastAsia" w:ascii="Times New Roman" w:hAnsi="Times New Roman" w:eastAsia="仿宋" w:cs="仿宋"/>
                <w:sz w:val="24"/>
              </w:rPr>
              <w:t>（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" w:cs="仿宋"/>
                <w:sz w:val="24"/>
              </w:rPr>
              <w:t>%）</w:t>
            </w:r>
          </w:p>
        </w:tc>
        <w:tc>
          <w:tcPr>
            <w:tcW w:w="262" w:type="pct"/>
            <w:noWrap/>
            <w:vAlign w:val="center"/>
          </w:tcPr>
          <w:p w14:paraId="5A530617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" w:cs="仿宋"/>
                <w:sz w:val="24"/>
              </w:rPr>
              <w:t>分</w:t>
            </w:r>
          </w:p>
        </w:tc>
        <w:tc>
          <w:tcPr>
            <w:tcW w:w="2806" w:type="pct"/>
            <w:noWrap/>
            <w:vAlign w:val="center"/>
          </w:tcPr>
          <w:p w14:paraId="77CFD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供应商具有202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"/>
                <w:sz w:val="24"/>
              </w:rPr>
              <w:t>年1月1日至今类似项目业绩合同的（以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合同</w:t>
            </w:r>
            <w:r>
              <w:rPr>
                <w:rFonts w:hint="eastAsia" w:ascii="Times New Roman" w:hAnsi="Times New Roman" w:eastAsia="仿宋" w:cs="仿宋"/>
                <w:sz w:val="24"/>
              </w:rPr>
              <w:t>签订时间为准），每提供一个得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"/>
                <w:sz w:val="24"/>
              </w:rPr>
              <w:t>分，此项最高得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" w:cs="仿宋"/>
                <w:sz w:val="24"/>
              </w:rPr>
              <w:t>分，未提供的不得分。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 xml:space="preserve">           </w:t>
            </w:r>
          </w:p>
          <w:p w14:paraId="12251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注：①上述类似项目业绩是指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电梯维保服务项目业绩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；②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提供合同复印机或中标通知书加盖供应商公章，</w:t>
            </w:r>
            <w:r>
              <w:rPr>
                <w:rFonts w:hint="eastAsia" w:ascii="Times New Roman" w:hAnsi="Times New Roman" w:eastAsia="仿宋" w:cs="仿宋"/>
                <w:sz w:val="24"/>
              </w:rPr>
              <w:t>合同内容无法体现服务项目或内容与本项目无关及无签字、盖章、签订时间的不得分。</w:t>
            </w:r>
          </w:p>
        </w:tc>
        <w:tc>
          <w:tcPr>
            <w:tcW w:w="1066" w:type="pct"/>
            <w:noWrap/>
            <w:vAlign w:val="center"/>
          </w:tcPr>
          <w:p w14:paraId="6F7BF322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bookmarkStart w:id="0" w:name="_GoBack"/>
            <w:bookmarkEnd w:id="0"/>
          </w:p>
        </w:tc>
      </w:tr>
      <w:tr w14:paraId="65D5F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</w:trPr>
        <w:tc>
          <w:tcPr>
            <w:tcW w:w="255" w:type="pct"/>
            <w:noWrap/>
            <w:vAlign w:val="center"/>
          </w:tcPr>
          <w:p w14:paraId="0F88106C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609" w:type="pct"/>
            <w:shd w:val="clear" w:color="auto" w:fill="auto"/>
            <w:noWrap/>
            <w:vAlign w:val="center"/>
          </w:tcPr>
          <w:p w14:paraId="7CB33DDC">
            <w:pPr>
              <w:jc w:val="center"/>
              <w:rPr>
                <w:rFonts w:hint="default" w:ascii="Times New Roman" w:hAnsi="Times New Roman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highlight w:val="none"/>
                <w:lang w:val="en-US" w:eastAsia="zh-CN"/>
              </w:rPr>
              <w:t>风险承担能力（8%）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14:paraId="7534DB5D">
            <w:pPr>
              <w:jc w:val="center"/>
              <w:rPr>
                <w:rFonts w:hint="default" w:ascii="Times New Roman" w:hAnsi="Times New Roman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highlight w:val="none"/>
                <w:lang w:val="en-US" w:eastAsia="zh-CN"/>
              </w:rPr>
              <w:t>8分</w:t>
            </w:r>
          </w:p>
        </w:tc>
        <w:tc>
          <w:tcPr>
            <w:tcW w:w="2806" w:type="pct"/>
            <w:noWrap/>
            <w:vAlign w:val="center"/>
          </w:tcPr>
          <w:p w14:paraId="5A613FCF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①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  <w:t>电梯责任险保额同时满足：每台电梯累计责任限额≥1000 万元、每次事故赔偿限额≥500 万元、每人人身伤亡赔偿限额≥80 万元，此项得 8 分；</w:t>
            </w:r>
          </w:p>
          <w:p w14:paraId="1185991D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②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  <w:t>电梯责任险保额同时满足：每台电梯累计责任限额≥800万，每台电梯每次事故赔偿限额≥400万，每人人身伤亡赔偿限额≥60万，此项得4分；</w:t>
            </w:r>
          </w:p>
          <w:p w14:paraId="7A4F4C53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  <w:t>若每台电梯的任意一项保额低于第</w:t>
            </w: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②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  <w:t>项要求，不得分。</w:t>
            </w:r>
          </w:p>
          <w:p w14:paraId="79B75634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2"/>
                <w:sz w:val="24"/>
                <w:szCs w:val="22"/>
                <w:lang w:val="en-US" w:eastAsia="zh-CN" w:bidi="ar-SA"/>
              </w:rPr>
              <w:t>注：合同签订后向采购人提交上述保险单的复印件，在合同服务期内保险单必须有效。</w:t>
            </w:r>
          </w:p>
        </w:tc>
        <w:tc>
          <w:tcPr>
            <w:tcW w:w="1066" w:type="pct"/>
            <w:noWrap/>
            <w:vAlign w:val="center"/>
          </w:tcPr>
          <w:p w14:paraId="24151FB6">
            <w:pPr>
              <w:jc w:val="center"/>
              <w:rPr>
                <w:rFonts w:hint="eastAsia" w:ascii="Times New Roman" w:hAnsi="Times New Roman" w:eastAsia="仿宋" w:cs="仿宋"/>
                <w:sz w:val="24"/>
                <w:highlight w:val="yellow"/>
              </w:rPr>
            </w:pPr>
          </w:p>
        </w:tc>
      </w:tr>
      <w:tr w14:paraId="07432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255" w:type="pct"/>
            <w:noWrap/>
            <w:vAlign w:val="center"/>
          </w:tcPr>
          <w:p w14:paraId="3115F0B0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4</w:t>
            </w:r>
          </w:p>
        </w:tc>
        <w:tc>
          <w:tcPr>
            <w:tcW w:w="609" w:type="pct"/>
            <w:noWrap/>
            <w:vAlign w:val="center"/>
          </w:tcPr>
          <w:p w14:paraId="0AA22509">
            <w:pPr>
              <w:tabs>
                <w:tab w:val="left" w:pos="441"/>
              </w:tabs>
              <w:jc w:val="left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highlight w:val="none"/>
                <w:lang w:val="en-US" w:eastAsia="zh-CN"/>
              </w:rPr>
              <w:t>项目要求（20%）</w:t>
            </w:r>
          </w:p>
        </w:tc>
        <w:tc>
          <w:tcPr>
            <w:tcW w:w="262" w:type="pct"/>
            <w:noWrap/>
            <w:vAlign w:val="center"/>
          </w:tcPr>
          <w:p w14:paraId="14DD7FD5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20分</w:t>
            </w:r>
          </w:p>
        </w:tc>
        <w:tc>
          <w:tcPr>
            <w:tcW w:w="2806" w:type="pct"/>
            <w:noWrap/>
            <w:vAlign w:val="center"/>
          </w:tcPr>
          <w:p w14:paraId="1FFF21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供应商针对项目要求中一般项目要求条款的响应得分规则如下：一般项目要求条款响应得分=（投标人满足一般项目要求条款的数量÷一般项目要求条款的总数量）×20分。（共6条，保留至小数点后2位）</w:t>
            </w:r>
          </w:p>
          <w:p w14:paraId="308301D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autoSpaceDE/>
              <w:autoSpaceDN/>
              <w:bidi w:val="0"/>
              <w:spacing w:line="360" w:lineRule="exact"/>
              <w:ind w:firstLine="480" w:firstLineChars="200"/>
              <w:jc w:val="both"/>
              <w:rPr>
                <w:rFonts w:hint="eastAsia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注：★号条款为实质性要求，不参与本项评分。以一级序号阿拉伯数字（如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1066" w:type="pct"/>
            <w:noWrap/>
            <w:vAlign w:val="center"/>
          </w:tcPr>
          <w:p w14:paraId="43D11FD5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</w:p>
        </w:tc>
      </w:tr>
      <w:tr w14:paraId="6AE29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255" w:type="pct"/>
            <w:noWrap/>
            <w:vAlign w:val="center"/>
          </w:tcPr>
          <w:p w14:paraId="62187FAE"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5</w:t>
            </w:r>
          </w:p>
        </w:tc>
        <w:tc>
          <w:tcPr>
            <w:tcW w:w="609" w:type="pct"/>
            <w:noWrap/>
            <w:vAlign w:val="center"/>
          </w:tcPr>
          <w:p w14:paraId="52FD1CCC"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项目实施方案</w:t>
            </w:r>
            <w:r>
              <w:rPr>
                <w:rFonts w:hint="eastAsia" w:ascii="Times New Roman" w:hAnsi="Times New Roman" w:eastAsia="仿宋" w:cs="仿宋"/>
                <w:sz w:val="24"/>
              </w:rPr>
              <w:t>（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" w:cs="仿宋"/>
                <w:sz w:val="24"/>
              </w:rPr>
              <w:t>%）</w:t>
            </w:r>
          </w:p>
        </w:tc>
        <w:tc>
          <w:tcPr>
            <w:tcW w:w="262" w:type="pct"/>
            <w:noWrap/>
            <w:vAlign w:val="center"/>
          </w:tcPr>
          <w:p w14:paraId="72845A5F"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" w:cs="仿宋"/>
                <w:sz w:val="24"/>
              </w:rPr>
              <w:t>分</w:t>
            </w:r>
          </w:p>
        </w:tc>
        <w:tc>
          <w:tcPr>
            <w:tcW w:w="2806" w:type="pct"/>
            <w:noWrap/>
            <w:vAlign w:val="center"/>
          </w:tcPr>
          <w:p w14:paraId="46F51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供应商提供的维护保养方案内容至少包含：①维护保养计划；②维护保养内容（应重点阐述主要安全部件的维保方案）；③安全管理措施；④应急处置方案；⑤人员管理方案及内部制度等阐述及解决措施。每缺少一项内容或内容错误扣8分，每有一项内容存在缺陷扣1~8分，扣完为止。</w:t>
            </w:r>
          </w:p>
          <w:p w14:paraId="59475278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1066" w:type="pct"/>
            <w:noWrap/>
            <w:vAlign w:val="center"/>
          </w:tcPr>
          <w:p w14:paraId="20836652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实施方案需遵照《特种设备使用管理规则》TSG 08-2017和《电梯维护保养规则》TSG T5002-2017的相关规定和技术要求而制订</w:t>
            </w:r>
          </w:p>
        </w:tc>
      </w:tr>
      <w:tr w14:paraId="43967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55" w:type="pct"/>
            <w:noWrap/>
            <w:vAlign w:val="center"/>
          </w:tcPr>
          <w:p w14:paraId="58C5852D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4DD672D2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1480ADBC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431BB666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12A37BAB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6</w:t>
            </w:r>
          </w:p>
        </w:tc>
        <w:tc>
          <w:tcPr>
            <w:tcW w:w="609" w:type="pct"/>
            <w:noWrap/>
            <w:vAlign w:val="center"/>
          </w:tcPr>
          <w:p w14:paraId="5B629F0D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6B285AEA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28429ED7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029751B9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26484AD7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人员配置方案（9%）</w:t>
            </w:r>
          </w:p>
        </w:tc>
        <w:tc>
          <w:tcPr>
            <w:tcW w:w="262" w:type="pct"/>
            <w:noWrap/>
            <w:vAlign w:val="center"/>
          </w:tcPr>
          <w:p w14:paraId="6E763168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5DA7D54A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74E2A892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3E573406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</w:p>
          <w:p w14:paraId="6E2928C1">
            <w:pPr>
              <w:jc w:val="center"/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9分</w:t>
            </w:r>
          </w:p>
        </w:tc>
        <w:tc>
          <w:tcPr>
            <w:tcW w:w="2806" w:type="pct"/>
            <w:noWrap/>
            <w:vAlign w:val="center"/>
          </w:tcPr>
          <w:p w14:paraId="6D5AE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1.提供本项目人员配置方案：至少包括项目负责人1名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技术负责人1名</w:t>
            </w:r>
            <w:r>
              <w:rPr>
                <w:rFonts w:hint="eastAsia" w:ascii="Times New Roman" w:hAnsi="Times New Roman" w:eastAsia="仿宋" w:cs="仿宋"/>
                <w:sz w:val="24"/>
              </w:rPr>
              <w:t>及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维保人员1名</w:t>
            </w:r>
            <w:r>
              <w:rPr>
                <w:rFonts w:hint="eastAsia" w:ascii="Times New Roman" w:hAnsi="Times New Roman" w:eastAsia="仿宋" w:cs="仿宋"/>
                <w:sz w:val="24"/>
              </w:rPr>
              <w:t>，每增加一名人员得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1.5</w:t>
            </w:r>
            <w:r>
              <w:rPr>
                <w:rFonts w:hint="eastAsia" w:ascii="Times New Roman" w:hAnsi="Times New Roman" w:eastAsia="仿宋" w:cs="仿宋"/>
                <w:sz w:val="24"/>
              </w:rPr>
              <w:t>分，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本项</w:t>
            </w:r>
            <w:r>
              <w:rPr>
                <w:rFonts w:hint="eastAsia" w:ascii="Times New Roman" w:hAnsi="Times New Roman" w:eastAsia="仿宋" w:cs="仿宋"/>
                <w:sz w:val="24"/>
              </w:rPr>
              <w:t>最多得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" w:cs="仿宋"/>
                <w:sz w:val="24"/>
              </w:rPr>
              <w:t>分。</w:t>
            </w:r>
          </w:p>
          <w:p w14:paraId="2BDCE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仿宋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2.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项目负责人或技术负责人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具有机电或机械类中级及以上职称资质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证书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的得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1.5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分，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本项最多得3分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。</w:t>
            </w:r>
          </w:p>
          <w:p w14:paraId="2CC65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3.拟投入本项目维保人员：每有1名具有中级职业技能等级证书的得 1.5分，本项最多得3分。</w:t>
            </w:r>
          </w:p>
          <w:p w14:paraId="7EA9F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注：</w:t>
            </w:r>
            <w:r>
              <w:rPr>
                <w:rFonts w:hint="eastAsia" w:ascii="Times New Roman" w:hAnsi="Times New Roman" w:eastAsia="仿宋" w:cs="仿宋"/>
                <w:sz w:val="24"/>
              </w:rPr>
              <w:t>①提供相关证书复印件</w:t>
            </w:r>
            <w:r>
              <w:rPr>
                <w:rFonts w:hint="eastAsia" w:ascii="Times New Roman" w:hAnsi="Times New Roman" w:eastAsia="仿宋" w:cs="仿宋"/>
                <w:sz w:val="24"/>
                <w:lang w:eastAsia="zh-CN"/>
              </w:rPr>
              <w:t>，②</w:t>
            </w:r>
            <w:r>
              <w:rPr>
                <w:rFonts w:hint="eastAsia" w:ascii="Times New Roman" w:hAnsi="Times New Roman" w:eastAsia="仿宋" w:cs="仿宋"/>
                <w:sz w:val="24"/>
              </w:rPr>
              <w:t>提供拟派驻人员的近三个月社保缴纳证明。上述材料需加盖公司鲜章。人员不得重复记分。</w:t>
            </w:r>
          </w:p>
        </w:tc>
        <w:tc>
          <w:tcPr>
            <w:tcW w:w="1066" w:type="pct"/>
            <w:noWrap/>
            <w:vAlign w:val="center"/>
          </w:tcPr>
          <w:p w14:paraId="1933148D">
            <w:pPr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</w:p>
        </w:tc>
      </w:tr>
    </w:tbl>
    <w:p w14:paraId="6346D7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D2B1A"/>
    <w:rsid w:val="7A1D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2025-10-24T04:12:00Z</dcterms:created>
  <dc:creator>邱玥</dc:creator>
  <cp:lastModifiedBy>邱玥</cp:lastModifiedBy>
  <dcterms:modified xsi:type="dcterms:W3CDTF">2025-10-24T04:13:15Z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E4D65FA93E654DB58C307E2CDD19052D_11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